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838" w:rsidRDefault="008B3838">
      <w:pPr>
        <w:spacing w:line="596" w:lineRule="exact"/>
        <w:jc w:val="center"/>
        <w:rPr>
          <w:rFonts w:ascii="微软雅黑" w:eastAsia="微软雅黑" w:hAnsi="微软雅黑"/>
          <w:sz w:val="48"/>
          <w:szCs w:val="48"/>
        </w:rPr>
      </w:pPr>
    </w:p>
    <w:p w:rsidR="008B3838" w:rsidRDefault="008B3838">
      <w:pPr>
        <w:spacing w:line="596" w:lineRule="exact"/>
        <w:jc w:val="center"/>
        <w:rPr>
          <w:rFonts w:ascii="微软雅黑" w:eastAsia="微软雅黑" w:hAnsi="微软雅黑"/>
          <w:sz w:val="48"/>
          <w:szCs w:val="48"/>
        </w:rPr>
      </w:pPr>
    </w:p>
    <w:p w:rsidR="008B3838" w:rsidRDefault="008B3838">
      <w:pPr>
        <w:spacing w:line="596" w:lineRule="exact"/>
        <w:jc w:val="center"/>
        <w:rPr>
          <w:rFonts w:ascii="微软雅黑" w:eastAsia="微软雅黑" w:hAnsi="微软雅黑"/>
          <w:sz w:val="48"/>
          <w:szCs w:val="48"/>
        </w:rPr>
      </w:pPr>
    </w:p>
    <w:p w:rsidR="008B3838" w:rsidRDefault="00BC7ECE">
      <w:pPr>
        <w:spacing w:line="596" w:lineRule="exact"/>
        <w:jc w:val="center"/>
        <w:rPr>
          <w:rFonts w:ascii="微软雅黑" w:eastAsia="微软雅黑" w:hAnsi="微软雅黑"/>
          <w:sz w:val="48"/>
          <w:szCs w:val="48"/>
        </w:rPr>
      </w:pPr>
      <w:r>
        <w:rPr>
          <w:rFonts w:ascii="微软雅黑" w:eastAsia="微软雅黑" w:hAnsi="微软雅黑" w:hint="eastAsia"/>
          <w:sz w:val="48"/>
          <w:szCs w:val="48"/>
        </w:rPr>
        <w:t>2023</w:t>
      </w:r>
      <w:r>
        <w:rPr>
          <w:rFonts w:ascii="微软雅黑" w:eastAsia="微软雅黑" w:hAnsi="微软雅黑"/>
          <w:sz w:val="48"/>
          <w:szCs w:val="48"/>
        </w:rPr>
        <w:t>年度</w:t>
      </w:r>
      <w:r>
        <w:rPr>
          <w:rFonts w:ascii="微软雅黑" w:eastAsia="微软雅黑" w:hAnsi="微软雅黑" w:hint="eastAsia"/>
          <w:sz w:val="48"/>
          <w:szCs w:val="48"/>
        </w:rPr>
        <w:t>益阳市住房公积金管理中心</w:t>
      </w:r>
    </w:p>
    <w:p w:rsidR="008B3838" w:rsidRDefault="00BC7ECE">
      <w:pPr>
        <w:spacing w:line="596" w:lineRule="exact"/>
        <w:jc w:val="center"/>
        <w:rPr>
          <w:rFonts w:ascii="微软雅黑" w:eastAsia="微软雅黑" w:hAnsi="微软雅黑"/>
          <w:sz w:val="48"/>
          <w:szCs w:val="48"/>
        </w:rPr>
      </w:pPr>
      <w:r>
        <w:rPr>
          <w:rFonts w:ascii="微软雅黑" w:eastAsia="微软雅黑" w:hAnsi="微软雅黑"/>
          <w:sz w:val="48"/>
          <w:szCs w:val="48"/>
        </w:rPr>
        <w:t>整体支出绩效自评报告</w:t>
      </w:r>
    </w:p>
    <w:p w:rsidR="008B3838" w:rsidRDefault="008B3838">
      <w:pPr>
        <w:spacing w:line="596" w:lineRule="exact"/>
        <w:jc w:val="center"/>
        <w:rPr>
          <w:rFonts w:eastAsia="黑体"/>
          <w:szCs w:val="32"/>
        </w:rPr>
      </w:pPr>
    </w:p>
    <w:p w:rsidR="008B3838" w:rsidRDefault="008B3838">
      <w:pPr>
        <w:spacing w:line="596" w:lineRule="exact"/>
        <w:jc w:val="center"/>
        <w:rPr>
          <w:rFonts w:eastAsia="黑体"/>
          <w:szCs w:val="32"/>
        </w:rPr>
      </w:pPr>
    </w:p>
    <w:p w:rsidR="008B3838" w:rsidRDefault="008B3838">
      <w:pPr>
        <w:spacing w:line="596" w:lineRule="exact"/>
        <w:jc w:val="center"/>
        <w:rPr>
          <w:rFonts w:eastAsia="黑体"/>
          <w:szCs w:val="32"/>
        </w:rPr>
      </w:pPr>
    </w:p>
    <w:p w:rsidR="008B3838" w:rsidRDefault="008B3838">
      <w:pPr>
        <w:spacing w:line="596" w:lineRule="exact"/>
        <w:jc w:val="center"/>
        <w:rPr>
          <w:rFonts w:eastAsia="黑体"/>
          <w:szCs w:val="32"/>
        </w:rPr>
      </w:pPr>
    </w:p>
    <w:p w:rsidR="008B3838" w:rsidRDefault="008B3838">
      <w:pPr>
        <w:spacing w:line="596" w:lineRule="exact"/>
        <w:jc w:val="center"/>
        <w:rPr>
          <w:rFonts w:eastAsia="黑体"/>
          <w:szCs w:val="32"/>
        </w:rPr>
      </w:pPr>
    </w:p>
    <w:p w:rsidR="008B3838" w:rsidRDefault="008B3838">
      <w:pPr>
        <w:spacing w:line="596" w:lineRule="exact"/>
        <w:jc w:val="center"/>
        <w:rPr>
          <w:rFonts w:eastAsia="黑体"/>
          <w:szCs w:val="32"/>
        </w:rPr>
      </w:pPr>
    </w:p>
    <w:p w:rsidR="008B3838" w:rsidRDefault="008B3838">
      <w:pPr>
        <w:spacing w:line="596" w:lineRule="exact"/>
        <w:jc w:val="center"/>
        <w:rPr>
          <w:rFonts w:eastAsia="黑体"/>
          <w:szCs w:val="32"/>
        </w:rPr>
      </w:pPr>
    </w:p>
    <w:p w:rsidR="008B3838" w:rsidRDefault="008B3838">
      <w:pPr>
        <w:spacing w:line="596" w:lineRule="exact"/>
        <w:ind w:firstLineChars="200" w:firstLine="880"/>
        <w:jc w:val="center"/>
        <w:rPr>
          <w:rFonts w:eastAsia="黑体"/>
          <w:sz w:val="44"/>
          <w:szCs w:val="44"/>
        </w:rPr>
      </w:pPr>
    </w:p>
    <w:p w:rsidR="008B3838" w:rsidRDefault="008B3838">
      <w:pPr>
        <w:spacing w:line="596" w:lineRule="exact"/>
        <w:ind w:firstLineChars="200" w:firstLine="880"/>
        <w:jc w:val="center"/>
        <w:rPr>
          <w:rFonts w:eastAsia="黑体"/>
          <w:sz w:val="44"/>
          <w:szCs w:val="44"/>
        </w:rPr>
      </w:pPr>
    </w:p>
    <w:p w:rsidR="008B3838" w:rsidRDefault="008B3838">
      <w:pPr>
        <w:spacing w:line="596" w:lineRule="exact"/>
        <w:ind w:firstLineChars="200" w:firstLine="880"/>
        <w:jc w:val="center"/>
        <w:rPr>
          <w:rFonts w:eastAsia="黑体"/>
          <w:sz w:val="44"/>
          <w:szCs w:val="44"/>
        </w:rPr>
      </w:pPr>
    </w:p>
    <w:p w:rsidR="008B3838" w:rsidRDefault="008B3838">
      <w:pPr>
        <w:spacing w:line="596" w:lineRule="exact"/>
        <w:ind w:firstLineChars="200" w:firstLine="720"/>
        <w:rPr>
          <w:rFonts w:eastAsia="黑体"/>
          <w:sz w:val="36"/>
          <w:szCs w:val="36"/>
        </w:rPr>
      </w:pPr>
    </w:p>
    <w:p w:rsidR="008B3838" w:rsidRDefault="008B3838">
      <w:pPr>
        <w:spacing w:line="596" w:lineRule="exact"/>
        <w:ind w:firstLineChars="200" w:firstLine="720"/>
        <w:rPr>
          <w:rFonts w:eastAsia="黑体"/>
          <w:sz w:val="36"/>
          <w:szCs w:val="36"/>
        </w:rPr>
      </w:pPr>
    </w:p>
    <w:p w:rsidR="008B3838" w:rsidRDefault="00BC7ECE">
      <w:pPr>
        <w:spacing w:line="596" w:lineRule="exact"/>
        <w:ind w:firstLineChars="200" w:firstLine="720"/>
        <w:rPr>
          <w:rFonts w:eastAsia="黑体"/>
          <w:sz w:val="36"/>
          <w:szCs w:val="36"/>
        </w:rPr>
      </w:pPr>
      <w:r>
        <w:rPr>
          <w:rFonts w:eastAsia="黑体" w:hint="eastAsia"/>
          <w:sz w:val="36"/>
          <w:szCs w:val="36"/>
        </w:rPr>
        <w:t>部门（</w:t>
      </w:r>
      <w:r>
        <w:rPr>
          <w:rFonts w:eastAsia="黑体"/>
          <w:sz w:val="36"/>
          <w:szCs w:val="36"/>
        </w:rPr>
        <w:t>单位</w:t>
      </w:r>
      <w:r>
        <w:rPr>
          <w:rFonts w:eastAsia="黑体" w:hint="eastAsia"/>
          <w:sz w:val="36"/>
          <w:szCs w:val="36"/>
        </w:rPr>
        <w:t>）</w:t>
      </w:r>
      <w:r>
        <w:rPr>
          <w:rFonts w:eastAsia="黑体"/>
          <w:sz w:val="36"/>
          <w:szCs w:val="36"/>
        </w:rPr>
        <w:t>名称：</w:t>
      </w:r>
      <w:r>
        <w:rPr>
          <w:rFonts w:eastAsia="黑体" w:hint="eastAsia"/>
          <w:sz w:val="36"/>
          <w:szCs w:val="36"/>
        </w:rPr>
        <w:t xml:space="preserve"> </w:t>
      </w:r>
      <w:r>
        <w:rPr>
          <w:rFonts w:eastAsia="黑体" w:hint="eastAsia"/>
          <w:sz w:val="36"/>
          <w:szCs w:val="36"/>
          <w:u w:val="single"/>
        </w:rPr>
        <w:t>益阳市住房公积金管理中心</w:t>
      </w:r>
      <w:r>
        <w:rPr>
          <w:rFonts w:eastAsia="黑体" w:hint="eastAsia"/>
          <w:sz w:val="36"/>
          <w:szCs w:val="36"/>
          <w:u w:val="single"/>
        </w:rPr>
        <w:t xml:space="preserve">     </w:t>
      </w:r>
    </w:p>
    <w:p w:rsidR="008B3838" w:rsidRDefault="00BC7ECE">
      <w:pPr>
        <w:spacing w:line="596" w:lineRule="exact"/>
        <w:ind w:firstLineChars="900" w:firstLine="3240"/>
        <w:rPr>
          <w:rFonts w:eastAsia="黑体"/>
          <w:sz w:val="36"/>
          <w:szCs w:val="36"/>
          <w:u w:val="single"/>
        </w:rPr>
      </w:pPr>
      <w:r>
        <w:rPr>
          <w:rFonts w:eastAsia="黑体" w:hint="eastAsia"/>
          <w:sz w:val="36"/>
          <w:szCs w:val="36"/>
        </w:rPr>
        <w:t>2024</w:t>
      </w:r>
      <w:r>
        <w:rPr>
          <w:rFonts w:eastAsia="黑体" w:hint="eastAsia"/>
          <w:sz w:val="36"/>
          <w:szCs w:val="36"/>
        </w:rPr>
        <w:t>年</w:t>
      </w:r>
      <w:r>
        <w:rPr>
          <w:rFonts w:eastAsia="黑体" w:hint="eastAsia"/>
          <w:sz w:val="36"/>
          <w:szCs w:val="36"/>
        </w:rPr>
        <w:t xml:space="preserve"> 5</w:t>
      </w:r>
      <w:r>
        <w:rPr>
          <w:rFonts w:eastAsia="黑体" w:hint="eastAsia"/>
          <w:sz w:val="36"/>
          <w:szCs w:val="36"/>
        </w:rPr>
        <w:t>月</w:t>
      </w:r>
      <w:r>
        <w:rPr>
          <w:rFonts w:eastAsia="黑体" w:hint="eastAsia"/>
          <w:sz w:val="36"/>
          <w:szCs w:val="36"/>
        </w:rPr>
        <w:t xml:space="preserve">14 </w:t>
      </w:r>
      <w:r>
        <w:rPr>
          <w:rFonts w:eastAsia="黑体" w:hint="eastAsia"/>
          <w:sz w:val="36"/>
          <w:szCs w:val="36"/>
        </w:rPr>
        <w:t>日</w:t>
      </w:r>
    </w:p>
    <w:p w:rsidR="008B3838" w:rsidRDefault="008B3838">
      <w:pPr>
        <w:spacing w:line="596" w:lineRule="exact"/>
        <w:jc w:val="center"/>
        <w:rPr>
          <w:rFonts w:eastAsia="黑体"/>
          <w:szCs w:val="32"/>
        </w:rPr>
      </w:pPr>
    </w:p>
    <w:p w:rsidR="008B3838" w:rsidRDefault="008B3838">
      <w:pPr>
        <w:pStyle w:val="2"/>
        <w:ind w:left="640"/>
      </w:pPr>
    </w:p>
    <w:p w:rsidR="008B3838" w:rsidRDefault="008B3838">
      <w:pPr>
        <w:pStyle w:val="2"/>
        <w:ind w:left="640"/>
      </w:pPr>
    </w:p>
    <w:p w:rsidR="008B3838" w:rsidRDefault="008B3838">
      <w:pPr>
        <w:pStyle w:val="2"/>
        <w:ind w:left="640"/>
      </w:pPr>
    </w:p>
    <w:p w:rsidR="008B3838" w:rsidRDefault="008B3838">
      <w:pPr>
        <w:pStyle w:val="2"/>
        <w:ind w:left="640"/>
      </w:pPr>
    </w:p>
    <w:p w:rsidR="008B3838" w:rsidRDefault="00BC7ECE">
      <w:pPr>
        <w:spacing w:line="596" w:lineRule="exact"/>
        <w:jc w:val="center"/>
        <w:rPr>
          <w:rFonts w:ascii="微软雅黑" w:eastAsia="微软雅黑" w:hAnsi="微软雅黑"/>
          <w:sz w:val="44"/>
          <w:szCs w:val="44"/>
        </w:rPr>
      </w:pPr>
      <w:r>
        <w:rPr>
          <w:rFonts w:ascii="微软雅黑" w:eastAsia="微软雅黑" w:hAnsi="微软雅黑" w:hint="eastAsia"/>
          <w:sz w:val="44"/>
          <w:szCs w:val="44"/>
        </w:rPr>
        <w:lastRenderedPageBreak/>
        <w:t>2023年度益阳市住房公积金管理中心</w:t>
      </w:r>
    </w:p>
    <w:p w:rsidR="008B3838" w:rsidRDefault="00BC7ECE">
      <w:pPr>
        <w:spacing w:line="596" w:lineRule="exact"/>
        <w:jc w:val="center"/>
        <w:rPr>
          <w:rFonts w:ascii="微软雅黑" w:eastAsia="微软雅黑" w:hAnsi="微软雅黑"/>
          <w:sz w:val="44"/>
          <w:szCs w:val="44"/>
        </w:rPr>
      </w:pPr>
      <w:r>
        <w:rPr>
          <w:rFonts w:ascii="微软雅黑" w:eastAsia="微软雅黑" w:hAnsi="微软雅黑" w:hint="eastAsia"/>
          <w:sz w:val="44"/>
          <w:szCs w:val="44"/>
        </w:rPr>
        <w:t>整体支出绩效自评报告</w:t>
      </w:r>
    </w:p>
    <w:p w:rsidR="008B3838" w:rsidRDefault="008B3838">
      <w:pPr>
        <w:spacing w:line="596" w:lineRule="exact"/>
        <w:ind w:firstLineChars="200" w:firstLine="640"/>
        <w:rPr>
          <w:rFonts w:eastAsia="黑体"/>
          <w:szCs w:val="32"/>
        </w:rPr>
      </w:pPr>
    </w:p>
    <w:p w:rsidR="008B3838" w:rsidRDefault="00BC7ECE">
      <w:pPr>
        <w:numPr>
          <w:ilvl w:val="0"/>
          <w:numId w:val="1"/>
        </w:numPr>
        <w:spacing w:line="596" w:lineRule="exact"/>
        <w:ind w:firstLineChars="200" w:firstLine="640"/>
        <w:rPr>
          <w:rFonts w:eastAsia="黑体"/>
          <w:szCs w:val="32"/>
        </w:rPr>
      </w:pPr>
      <w:r>
        <w:rPr>
          <w:rFonts w:eastAsia="黑体" w:hint="eastAsia"/>
          <w:szCs w:val="32"/>
        </w:rPr>
        <w:t>部门（单位）</w:t>
      </w:r>
      <w:r>
        <w:rPr>
          <w:rFonts w:eastAsia="黑体"/>
          <w:szCs w:val="32"/>
        </w:rPr>
        <w:t>基本情况</w:t>
      </w:r>
    </w:p>
    <w:p w:rsidR="008B3838" w:rsidRDefault="00BC7ECE">
      <w:pPr>
        <w:spacing w:line="596" w:lineRule="exact"/>
        <w:ind w:firstLineChars="200" w:firstLine="640"/>
        <w:rPr>
          <w:rFonts w:ascii="仿宋" w:eastAsia="仿宋" w:hAnsi="仿宋" w:cs="宋体"/>
          <w:kern w:val="0"/>
          <w:szCs w:val="32"/>
        </w:rPr>
      </w:pPr>
      <w:r>
        <w:rPr>
          <w:rFonts w:ascii="仿宋" w:eastAsia="仿宋" w:hAnsi="仿宋" w:cs="宋体" w:hint="eastAsia"/>
          <w:kern w:val="0"/>
          <w:szCs w:val="32"/>
        </w:rPr>
        <w:t xml:space="preserve">益阳市住房公积金管理中心属一级预算单位，单位性质为自收自支事业单位，内设办公室、财务科、信息科（政务服务协调科）、法制科（行政审批改革科）4个职能科室和机关党委，含益阳市住房公积金管理中心营业部、益阳市住房公积金管理中心赫山管理部、益阳市住房公积金管理中心资阳管理部、益阳市住房公积金管理中心高新管理部、益阳市住房公积金管理中心桃江管理部、益阳市住房公积金管理中心沅江管理部、益阳市住房公积金管理中心南县管理部、益阳市住房公积金管理中心安化管理部、益阳市住房公积金管理中心大通湖管理部，非独立核算的正科级事业单位9个。                                  </w:t>
      </w:r>
    </w:p>
    <w:p w:rsidR="008B3838" w:rsidRDefault="00BC7ECE">
      <w:pPr>
        <w:spacing w:line="596" w:lineRule="exact"/>
        <w:ind w:firstLineChars="200" w:firstLine="640"/>
        <w:rPr>
          <w:rFonts w:ascii="仿宋" w:eastAsia="仿宋" w:hAnsi="仿宋" w:cs="宋体"/>
          <w:kern w:val="0"/>
          <w:szCs w:val="32"/>
        </w:rPr>
      </w:pPr>
      <w:r>
        <w:rPr>
          <w:rFonts w:ascii="仿宋" w:eastAsia="仿宋" w:hAnsi="仿宋" w:cs="宋体" w:hint="eastAsia"/>
          <w:kern w:val="0"/>
          <w:szCs w:val="32"/>
        </w:rPr>
        <w:t xml:space="preserve"> 截止2023年12月，全中心共有人员111名，其中在职人员91名，退休人员20名。</w:t>
      </w:r>
    </w:p>
    <w:p w:rsidR="008B3838" w:rsidRDefault="00BC7ECE">
      <w:pPr>
        <w:pStyle w:val="a7"/>
        <w:spacing w:line="596" w:lineRule="exact"/>
        <w:ind w:firstLine="640"/>
        <w:rPr>
          <w:rFonts w:ascii="Times New Roman" w:eastAsia="黑体" w:hAnsi="Times New Roman"/>
          <w:szCs w:val="32"/>
        </w:rPr>
      </w:pPr>
      <w:r>
        <w:rPr>
          <w:rFonts w:ascii="Times New Roman" w:eastAsia="黑体" w:hAnsi="Times New Roman"/>
          <w:szCs w:val="32"/>
        </w:rPr>
        <w:t>二、一般公共预算支出情况</w:t>
      </w:r>
    </w:p>
    <w:p w:rsidR="008B3838" w:rsidRDefault="00BC7ECE">
      <w:pPr>
        <w:pStyle w:val="a7"/>
        <w:spacing w:line="596" w:lineRule="exact"/>
        <w:ind w:firstLine="643"/>
        <w:rPr>
          <w:rFonts w:ascii="仿宋" w:eastAsia="仿宋" w:hAnsi="仿宋"/>
          <w:b/>
          <w:szCs w:val="32"/>
        </w:rPr>
      </w:pPr>
      <w:r>
        <w:rPr>
          <w:rFonts w:ascii="仿宋" w:eastAsia="仿宋" w:hAnsi="仿宋"/>
          <w:b/>
          <w:szCs w:val="32"/>
        </w:rPr>
        <w:t>（一）基本支出情况</w:t>
      </w:r>
    </w:p>
    <w:p w:rsidR="008B3838" w:rsidRDefault="00BC7ECE">
      <w:pPr>
        <w:widowControl/>
        <w:spacing w:line="596" w:lineRule="exact"/>
        <w:ind w:firstLine="643"/>
        <w:rPr>
          <w:rFonts w:ascii="仿宋" w:eastAsia="仿宋" w:hAnsi="仿宋" w:cs="仿宋"/>
          <w:szCs w:val="32"/>
          <w:lang w:val="zh-CN"/>
        </w:rPr>
      </w:pPr>
      <w:r>
        <w:rPr>
          <w:rFonts w:ascii="仿宋" w:eastAsia="仿宋" w:hAnsi="仿宋" w:cs="宋体" w:hint="eastAsia"/>
          <w:kern w:val="0"/>
          <w:szCs w:val="32"/>
        </w:rPr>
        <w:t>2023年基本支出共计2608.19万元，其中人员经费支出2230.11万元，公用经费支出378.08万元。人员经费比上年增加</w:t>
      </w:r>
      <w:r>
        <w:rPr>
          <w:rFonts w:ascii="仿宋" w:eastAsia="仿宋" w:hAnsi="仿宋" w:cs="仿宋" w:hint="eastAsia"/>
          <w:szCs w:val="32"/>
          <w:lang w:val="zh-CN"/>
        </w:rPr>
        <w:t>201.2</w:t>
      </w:r>
      <w:r>
        <w:rPr>
          <w:rFonts w:ascii="仿宋" w:eastAsia="仿宋" w:hAnsi="仿宋" w:cs="宋体" w:hint="eastAsia"/>
          <w:kern w:val="0"/>
          <w:szCs w:val="32"/>
        </w:rPr>
        <w:t>万元，</w:t>
      </w:r>
      <w:r>
        <w:rPr>
          <w:rFonts w:ascii="仿宋" w:eastAsia="仿宋" w:hAnsi="仿宋" w:cs="仿宋" w:hint="eastAsia"/>
          <w:szCs w:val="32"/>
          <w:lang w:val="zh-CN"/>
        </w:rPr>
        <w:t>主要原因2023年补缴了2021-2023年基础绩效奖，所以2023年人员费用支出相比2022年有所上升。公用经费比2022年减少了</w:t>
      </w:r>
      <w:r>
        <w:rPr>
          <w:rFonts w:ascii="仿宋" w:eastAsia="仿宋" w:hAnsi="仿宋" w:cs="仿宋" w:hint="eastAsia"/>
          <w:szCs w:val="32"/>
        </w:rPr>
        <w:t>17.35</w:t>
      </w:r>
      <w:r>
        <w:rPr>
          <w:rFonts w:ascii="仿宋" w:eastAsia="仿宋" w:hAnsi="仿宋" w:cs="仿宋" w:hint="eastAsia"/>
          <w:szCs w:val="32"/>
          <w:lang w:val="zh-CN"/>
        </w:rPr>
        <w:t>万元。“三公”经费支出</w:t>
      </w:r>
      <w:r>
        <w:rPr>
          <w:rFonts w:ascii="仿宋" w:eastAsia="仿宋" w:hAnsi="仿宋" w:cs="仿宋" w:hint="eastAsia"/>
          <w:szCs w:val="32"/>
        </w:rPr>
        <w:lastRenderedPageBreak/>
        <w:t>11.81</w:t>
      </w:r>
      <w:r>
        <w:rPr>
          <w:rFonts w:ascii="仿宋" w:eastAsia="仿宋" w:hAnsi="仿宋" w:cs="仿宋" w:hint="eastAsia"/>
          <w:szCs w:val="32"/>
          <w:lang w:val="zh-CN"/>
        </w:rPr>
        <w:t>万元，比去年</w:t>
      </w:r>
      <w:r>
        <w:rPr>
          <w:rFonts w:ascii="仿宋" w:eastAsia="仿宋" w:hAnsi="仿宋" w:cs="仿宋" w:hint="eastAsia"/>
          <w:szCs w:val="32"/>
        </w:rPr>
        <w:t>增加5.45</w:t>
      </w:r>
      <w:r>
        <w:rPr>
          <w:rFonts w:ascii="仿宋" w:eastAsia="仿宋" w:hAnsi="仿宋" w:cs="仿宋" w:hint="eastAsia"/>
          <w:szCs w:val="32"/>
          <w:lang w:val="zh-CN"/>
        </w:rPr>
        <w:t>万元，</w:t>
      </w:r>
      <w:r>
        <w:rPr>
          <w:rFonts w:ascii="仿宋" w:eastAsia="仿宋" w:hAnsi="仿宋" w:cs="仿宋" w:hint="eastAsia"/>
          <w:szCs w:val="32"/>
        </w:rPr>
        <w:t>增长85.69</w:t>
      </w:r>
      <w:r>
        <w:rPr>
          <w:rFonts w:ascii="仿宋" w:eastAsia="仿宋" w:hAnsi="仿宋" w:cs="仿宋" w:hint="eastAsia"/>
          <w:szCs w:val="32"/>
          <w:lang w:val="zh-CN"/>
        </w:rPr>
        <w:t>%，主要</w:t>
      </w:r>
      <w:r>
        <w:rPr>
          <w:rFonts w:ascii="仿宋" w:eastAsia="仿宋" w:hAnsi="仿宋" w:cs="仿宋" w:hint="eastAsia"/>
          <w:szCs w:val="32"/>
        </w:rPr>
        <w:t>由于2022年疫情原因，公务接待和公务出行相对较少，2023年恢复正常出行，费用有所增加。</w:t>
      </w:r>
      <w:r>
        <w:rPr>
          <w:rFonts w:ascii="仿宋" w:eastAsia="仿宋" w:hAnsi="仿宋" w:cs="仿宋" w:hint="eastAsia"/>
          <w:szCs w:val="32"/>
          <w:lang w:val="zh-CN"/>
        </w:rPr>
        <w:t>会议费支出2.</w:t>
      </w:r>
      <w:r>
        <w:rPr>
          <w:rFonts w:ascii="仿宋" w:eastAsia="仿宋" w:hAnsi="仿宋" w:cs="仿宋" w:hint="eastAsia"/>
          <w:szCs w:val="32"/>
        </w:rPr>
        <w:t>45</w:t>
      </w:r>
      <w:r>
        <w:rPr>
          <w:rFonts w:ascii="仿宋" w:eastAsia="仿宋" w:hAnsi="仿宋" w:cs="仿宋" w:hint="eastAsia"/>
          <w:szCs w:val="32"/>
          <w:lang w:val="zh-CN"/>
        </w:rPr>
        <w:t>万元，比上年下降</w:t>
      </w:r>
      <w:r>
        <w:rPr>
          <w:rFonts w:ascii="仿宋" w:eastAsia="仿宋" w:hAnsi="仿宋" w:cs="仿宋" w:hint="eastAsia"/>
          <w:szCs w:val="32"/>
        </w:rPr>
        <w:t>10.58%</w:t>
      </w:r>
      <w:r>
        <w:rPr>
          <w:rFonts w:ascii="仿宋" w:eastAsia="仿宋" w:hAnsi="仿宋" w:cs="仿宋" w:hint="eastAsia"/>
          <w:szCs w:val="32"/>
          <w:lang w:val="zh-CN"/>
        </w:rPr>
        <w:t>，按财政及中心要求</w:t>
      </w:r>
      <w:r>
        <w:rPr>
          <w:rFonts w:ascii="仿宋" w:eastAsia="仿宋" w:hAnsi="仿宋" w:cs="仿宋" w:hint="eastAsia"/>
          <w:szCs w:val="32"/>
        </w:rPr>
        <w:t>厉行节约，精简会议，减少开支</w:t>
      </w:r>
      <w:r>
        <w:rPr>
          <w:rFonts w:ascii="仿宋" w:eastAsia="仿宋" w:hAnsi="仿宋" w:cs="仿宋" w:hint="eastAsia"/>
          <w:szCs w:val="32"/>
          <w:lang w:val="zh-CN"/>
        </w:rPr>
        <w:t>。</w:t>
      </w:r>
    </w:p>
    <w:p w:rsidR="008B3838" w:rsidRDefault="00BC7ECE">
      <w:pPr>
        <w:widowControl/>
        <w:spacing w:line="596" w:lineRule="exact"/>
        <w:ind w:firstLine="643"/>
        <w:rPr>
          <w:rFonts w:ascii="仿宋" w:eastAsia="仿宋" w:hAnsi="仿宋"/>
          <w:b/>
          <w:szCs w:val="32"/>
        </w:rPr>
      </w:pPr>
      <w:r>
        <w:rPr>
          <w:rFonts w:ascii="仿宋" w:eastAsia="仿宋" w:hAnsi="仿宋" w:hint="eastAsia"/>
          <w:b/>
          <w:szCs w:val="32"/>
        </w:rPr>
        <w:t>(二)</w:t>
      </w:r>
      <w:r>
        <w:rPr>
          <w:rFonts w:ascii="仿宋" w:eastAsia="仿宋" w:hAnsi="仿宋"/>
          <w:b/>
          <w:szCs w:val="32"/>
        </w:rPr>
        <w:t>项目支出情况</w:t>
      </w:r>
    </w:p>
    <w:p w:rsidR="008B3838" w:rsidRDefault="00BC7ECE">
      <w:pPr>
        <w:widowControl/>
        <w:spacing w:line="596" w:lineRule="exact"/>
        <w:ind w:firstLineChars="200" w:firstLine="640"/>
        <w:rPr>
          <w:rFonts w:ascii="仿宋" w:eastAsia="仿宋" w:hAnsi="仿宋" w:cs="仿宋"/>
          <w:szCs w:val="32"/>
        </w:rPr>
      </w:pPr>
      <w:r>
        <w:rPr>
          <w:rFonts w:ascii="仿宋" w:eastAsia="仿宋" w:hAnsi="仿宋" w:cs="宋体" w:hint="eastAsia"/>
          <w:kern w:val="0"/>
          <w:szCs w:val="32"/>
        </w:rPr>
        <w:t>2023年项目经费支出3376.19万元，本年度无市级专项资金分配安排，其中：</w:t>
      </w:r>
      <w:r>
        <w:rPr>
          <w:rFonts w:ascii="仿宋" w:eastAsia="仿宋" w:hAnsi="仿宋" w:cs="仿宋" w:hint="eastAsia"/>
          <w:szCs w:val="32"/>
          <w:lang w:val="zh-CN"/>
        </w:rPr>
        <w:t>购置新的营业用房支出</w:t>
      </w:r>
      <w:r>
        <w:rPr>
          <w:rFonts w:ascii="仿宋" w:eastAsia="仿宋" w:hAnsi="仿宋" w:cs="仿宋" w:hint="eastAsia"/>
          <w:szCs w:val="32"/>
        </w:rPr>
        <w:t>1825.29万元，占比54.06%；</w:t>
      </w:r>
      <w:r>
        <w:rPr>
          <w:rFonts w:ascii="仿宋" w:eastAsia="仿宋" w:hAnsi="仿宋" w:cs="宋体" w:hint="eastAsia"/>
          <w:kern w:val="0"/>
          <w:szCs w:val="32"/>
        </w:rPr>
        <w:t>贷后资产服务支出439.76万元，占比13.03%；系统及信息化建设专项支出309.9万元，占比9.18%；归集贷款宣传支出181.19万元，占比5.37%；驻政务中心劳务派遣费用101.3万元，占比3% ；乡村振兴专项支出92.21万元，占比2.73%；县市区专项工作支出78.4万元，占比2.32%；12329声讯服务系统运行支出75.78万元，占比2.24%；市直营业部租赁支出52.09万元，占比1.54%；档案服务项目支出47.73万元，占比1.41%；职工集中培训支出43.58万元，占比1.29%；其他项目合计支出128.96万元，占比3.82%。</w:t>
      </w:r>
      <w:r>
        <w:rPr>
          <w:rFonts w:ascii="仿宋" w:eastAsia="仿宋" w:hAnsi="仿宋" w:cs="仿宋" w:hint="eastAsia"/>
          <w:szCs w:val="32"/>
          <w:lang w:val="zh-CN"/>
        </w:rPr>
        <w:t>项目经费比上年增长1437.59万元，增长74.</w:t>
      </w:r>
      <w:r>
        <w:rPr>
          <w:rFonts w:ascii="仿宋" w:eastAsia="仿宋" w:hAnsi="仿宋" w:cs="仿宋" w:hint="eastAsia"/>
          <w:szCs w:val="32"/>
        </w:rPr>
        <w:t>16</w:t>
      </w:r>
      <w:r>
        <w:rPr>
          <w:rFonts w:ascii="仿宋" w:eastAsia="仿宋" w:hAnsi="仿宋" w:cs="仿宋" w:hint="eastAsia"/>
          <w:szCs w:val="32"/>
          <w:lang w:val="zh-CN"/>
        </w:rPr>
        <w:t>%，增长的主要原因是2023年市直营业部场地租赁到期，采购新营业用房</w:t>
      </w:r>
      <w:bookmarkStart w:id="0" w:name="_GoBack"/>
      <w:bookmarkEnd w:id="0"/>
      <w:r>
        <w:rPr>
          <w:rFonts w:ascii="仿宋" w:eastAsia="仿宋" w:hAnsi="仿宋" w:cs="仿宋" w:hint="eastAsia"/>
          <w:szCs w:val="32"/>
          <w:lang w:val="zh-CN"/>
        </w:rPr>
        <w:t>。</w:t>
      </w:r>
    </w:p>
    <w:p w:rsidR="008B3838" w:rsidRDefault="00BC7ECE">
      <w:pPr>
        <w:pStyle w:val="a7"/>
        <w:numPr>
          <w:ilvl w:val="0"/>
          <w:numId w:val="1"/>
        </w:numPr>
        <w:spacing w:line="596" w:lineRule="exact"/>
        <w:ind w:firstLine="640"/>
        <w:rPr>
          <w:rFonts w:ascii="Times New Roman" w:eastAsia="黑体" w:hAnsi="Times New Roman"/>
          <w:szCs w:val="32"/>
        </w:rPr>
      </w:pPr>
      <w:r>
        <w:rPr>
          <w:rFonts w:ascii="Times New Roman" w:eastAsia="黑体" w:hAnsi="Times New Roman"/>
          <w:szCs w:val="32"/>
        </w:rPr>
        <w:t>政府性基金预算支出情况</w:t>
      </w:r>
    </w:p>
    <w:p w:rsidR="008B3838" w:rsidRDefault="00BC7ECE">
      <w:pPr>
        <w:pStyle w:val="a7"/>
        <w:spacing w:line="596" w:lineRule="exact"/>
        <w:ind w:leftChars="200" w:left="640" w:firstLineChars="0" w:firstLine="0"/>
        <w:rPr>
          <w:rFonts w:ascii="Times New Roman" w:eastAsia="黑体" w:hAnsi="Times New Roman"/>
          <w:szCs w:val="32"/>
        </w:rPr>
      </w:pPr>
      <w:r>
        <w:rPr>
          <w:rFonts w:ascii="Times New Roman" w:eastAsia="黑体" w:hAnsi="Times New Roman" w:hint="eastAsia"/>
          <w:szCs w:val="32"/>
        </w:rPr>
        <w:t>无</w:t>
      </w:r>
    </w:p>
    <w:p w:rsidR="008B3838" w:rsidRDefault="00BC7ECE">
      <w:pPr>
        <w:pStyle w:val="a7"/>
        <w:numPr>
          <w:ilvl w:val="0"/>
          <w:numId w:val="1"/>
        </w:numPr>
        <w:spacing w:line="596" w:lineRule="exact"/>
        <w:ind w:firstLine="640"/>
        <w:rPr>
          <w:rFonts w:ascii="Times New Roman" w:eastAsia="黑体" w:hAnsi="Times New Roman"/>
          <w:szCs w:val="32"/>
        </w:rPr>
      </w:pPr>
      <w:r>
        <w:rPr>
          <w:rFonts w:ascii="Times New Roman" w:eastAsia="黑体" w:hAnsi="Times New Roman"/>
          <w:szCs w:val="32"/>
        </w:rPr>
        <w:t>国有资本经营预算支出情况</w:t>
      </w:r>
    </w:p>
    <w:p w:rsidR="008B3838" w:rsidRDefault="00BC7ECE">
      <w:pPr>
        <w:pStyle w:val="a7"/>
        <w:spacing w:line="596" w:lineRule="exact"/>
        <w:ind w:leftChars="200" w:left="640" w:firstLineChars="0" w:firstLine="0"/>
        <w:rPr>
          <w:rFonts w:ascii="Times New Roman" w:eastAsia="黑体" w:hAnsi="Times New Roman"/>
          <w:szCs w:val="32"/>
        </w:rPr>
      </w:pPr>
      <w:r>
        <w:rPr>
          <w:rFonts w:ascii="Times New Roman" w:eastAsia="黑体" w:hAnsi="Times New Roman" w:hint="eastAsia"/>
          <w:szCs w:val="32"/>
        </w:rPr>
        <w:lastRenderedPageBreak/>
        <w:t>无</w:t>
      </w:r>
    </w:p>
    <w:p w:rsidR="008B3838" w:rsidRDefault="00BC7ECE">
      <w:pPr>
        <w:pStyle w:val="a7"/>
        <w:numPr>
          <w:ilvl w:val="0"/>
          <w:numId w:val="1"/>
        </w:numPr>
        <w:spacing w:line="596" w:lineRule="exact"/>
        <w:ind w:firstLine="640"/>
        <w:rPr>
          <w:rFonts w:ascii="Times New Roman" w:eastAsia="黑体" w:hAnsi="Times New Roman"/>
          <w:szCs w:val="32"/>
        </w:rPr>
      </w:pPr>
      <w:r>
        <w:rPr>
          <w:rFonts w:ascii="Times New Roman" w:eastAsia="黑体" w:hAnsi="Times New Roman"/>
          <w:szCs w:val="32"/>
        </w:rPr>
        <w:t>社会保险基金预算支出情况</w:t>
      </w:r>
    </w:p>
    <w:p w:rsidR="008B3838" w:rsidRDefault="00BC7ECE">
      <w:pPr>
        <w:pStyle w:val="a7"/>
        <w:spacing w:line="596" w:lineRule="exact"/>
        <w:ind w:leftChars="200" w:left="640" w:firstLineChars="0" w:firstLine="0"/>
        <w:rPr>
          <w:rFonts w:ascii="Times New Roman" w:eastAsia="黑体" w:hAnsi="Times New Roman"/>
          <w:szCs w:val="32"/>
        </w:rPr>
      </w:pPr>
      <w:r>
        <w:rPr>
          <w:rFonts w:ascii="Times New Roman" w:eastAsia="黑体" w:hAnsi="Times New Roman" w:hint="eastAsia"/>
          <w:szCs w:val="32"/>
        </w:rPr>
        <w:t>无</w:t>
      </w:r>
    </w:p>
    <w:p w:rsidR="008B3838" w:rsidRDefault="00BC7ECE">
      <w:pPr>
        <w:spacing w:line="596" w:lineRule="exact"/>
        <w:ind w:firstLineChars="200" w:firstLine="640"/>
        <w:rPr>
          <w:rFonts w:eastAsia="黑体"/>
          <w:szCs w:val="32"/>
        </w:rPr>
      </w:pPr>
      <w:r>
        <w:rPr>
          <w:rFonts w:eastAsia="黑体"/>
          <w:szCs w:val="32"/>
        </w:rPr>
        <w:t>六、部门整体支出绩效情况</w:t>
      </w:r>
    </w:p>
    <w:p w:rsidR="008B3838" w:rsidRDefault="00BC7ECE">
      <w:pPr>
        <w:spacing w:line="596" w:lineRule="exact"/>
        <w:ind w:firstLine="645"/>
        <w:rPr>
          <w:rStyle w:val="NormalCharacter"/>
          <w:rFonts w:ascii="仿宋" w:eastAsia="仿宋" w:hAnsi="仿宋"/>
          <w:szCs w:val="32"/>
        </w:rPr>
      </w:pPr>
      <w:r>
        <w:rPr>
          <w:rStyle w:val="NormalCharacter"/>
          <w:rFonts w:ascii="仿宋" w:eastAsia="仿宋" w:hAnsi="仿宋" w:hint="eastAsia"/>
          <w:szCs w:val="32"/>
        </w:rPr>
        <w:t>（一）全年绩效目标完成情况</w:t>
      </w:r>
    </w:p>
    <w:p w:rsidR="008B3838" w:rsidRDefault="00BC7ECE">
      <w:pPr>
        <w:pStyle w:val="a6"/>
        <w:spacing w:beforeAutospacing="0" w:afterAutospacing="0" w:line="596" w:lineRule="exact"/>
        <w:ind w:firstLineChars="200" w:firstLine="643"/>
        <w:jc w:val="both"/>
        <w:rPr>
          <w:rFonts w:ascii="仿宋" w:eastAsia="仿宋" w:hAnsi="仿宋"/>
          <w:sz w:val="32"/>
          <w:szCs w:val="32"/>
        </w:rPr>
      </w:pPr>
      <w:r>
        <w:rPr>
          <w:rFonts w:ascii="仿宋" w:eastAsia="仿宋" w:hAnsi="仿宋" w:cs="仿宋_GB2312" w:hint="eastAsia"/>
          <w:b/>
          <w:bCs/>
          <w:color w:val="000000"/>
          <w:sz w:val="32"/>
          <w:szCs w:val="32"/>
        </w:rPr>
        <w:t>1.归集缴存</w:t>
      </w:r>
      <w:r>
        <w:rPr>
          <w:rFonts w:ascii="仿宋" w:eastAsia="仿宋" w:hAnsi="仿宋" w:cs="楷体_GB2312" w:hint="eastAsia"/>
          <w:b/>
          <w:bCs/>
          <w:color w:val="000000"/>
          <w:sz w:val="32"/>
          <w:szCs w:val="32"/>
        </w:rPr>
        <w:t>。</w:t>
      </w:r>
      <w:r>
        <w:rPr>
          <w:rFonts w:ascii="仿宋" w:eastAsia="仿宋" w:hAnsi="仿宋" w:cs="仿宋_GB2312" w:hint="eastAsia"/>
          <w:kern w:val="2"/>
          <w:sz w:val="32"/>
          <w:szCs w:val="32"/>
        </w:rPr>
        <w:t>2023年，新开户单位176家，净增单位28家；新开户职工2.07万人，比上年减少职工0.24万人；实缴单位3342家，比上年增长0.84%；实缴职工24.13万人，比上年下降0.98%；缴存额38.40亿元，比上年增长3.78%，</w:t>
      </w:r>
      <w:r>
        <w:rPr>
          <w:rFonts w:ascii="仿宋" w:eastAsia="仿宋" w:hAnsi="仿宋" w:hint="eastAsia"/>
          <w:sz w:val="32"/>
          <w:szCs w:val="32"/>
        </w:rPr>
        <w:t>完成年度目标任务的126%。</w:t>
      </w:r>
    </w:p>
    <w:p w:rsidR="008B3838" w:rsidRDefault="00BC7ECE">
      <w:pPr>
        <w:pStyle w:val="a6"/>
        <w:spacing w:beforeAutospacing="0" w:afterAutospacing="0" w:line="596" w:lineRule="exact"/>
        <w:ind w:firstLineChars="200" w:firstLine="643"/>
        <w:jc w:val="both"/>
        <w:rPr>
          <w:rFonts w:ascii="仿宋" w:eastAsia="仿宋" w:hAnsi="仿宋"/>
          <w:sz w:val="32"/>
          <w:szCs w:val="32"/>
        </w:rPr>
      </w:pPr>
      <w:r>
        <w:rPr>
          <w:rFonts w:ascii="仿宋" w:eastAsia="仿宋" w:hAnsi="仿宋" w:cs="仿宋_GB2312" w:hint="eastAsia"/>
          <w:b/>
          <w:bCs/>
          <w:color w:val="000000"/>
          <w:sz w:val="32"/>
          <w:szCs w:val="32"/>
        </w:rPr>
        <w:t>2.提取使用。</w:t>
      </w:r>
      <w:r>
        <w:rPr>
          <w:rFonts w:ascii="仿宋" w:eastAsia="仿宋" w:hAnsi="仿宋"/>
          <w:kern w:val="2"/>
          <w:sz w:val="32"/>
          <w:szCs w:val="32"/>
        </w:rPr>
        <w:t>2023</w:t>
      </w:r>
      <w:r>
        <w:rPr>
          <w:rFonts w:ascii="仿宋" w:eastAsia="仿宋" w:hAnsi="仿宋" w:hint="eastAsia"/>
          <w:kern w:val="2"/>
          <w:sz w:val="32"/>
          <w:szCs w:val="32"/>
        </w:rPr>
        <w:t>年，</w:t>
      </w:r>
      <w:r>
        <w:rPr>
          <w:rFonts w:ascii="仿宋" w:eastAsia="仿宋" w:hAnsi="仿宋"/>
          <w:kern w:val="2"/>
          <w:sz w:val="32"/>
          <w:szCs w:val="32"/>
        </w:rPr>
        <w:t>11.93</w:t>
      </w:r>
      <w:r>
        <w:rPr>
          <w:rFonts w:ascii="仿宋" w:eastAsia="仿宋" w:hAnsi="仿宋" w:hint="eastAsia"/>
          <w:kern w:val="2"/>
          <w:sz w:val="32"/>
          <w:szCs w:val="32"/>
        </w:rPr>
        <w:t>万名缴存职工提取住房公积金；提取额</w:t>
      </w:r>
      <w:r>
        <w:rPr>
          <w:rFonts w:ascii="仿宋" w:eastAsia="仿宋" w:hAnsi="仿宋"/>
          <w:kern w:val="2"/>
          <w:sz w:val="32"/>
          <w:szCs w:val="32"/>
        </w:rPr>
        <w:t>30.54</w:t>
      </w:r>
      <w:r>
        <w:rPr>
          <w:rFonts w:ascii="仿宋" w:eastAsia="仿宋" w:hAnsi="仿宋" w:hint="eastAsia"/>
          <w:kern w:val="2"/>
          <w:sz w:val="32"/>
          <w:szCs w:val="32"/>
        </w:rPr>
        <w:t>亿元，比上年增长</w:t>
      </w:r>
      <w:r>
        <w:rPr>
          <w:rFonts w:ascii="仿宋" w:eastAsia="仿宋" w:hAnsi="仿宋"/>
          <w:kern w:val="2"/>
          <w:sz w:val="32"/>
          <w:szCs w:val="32"/>
        </w:rPr>
        <w:t>13.72%</w:t>
      </w:r>
      <w:r>
        <w:rPr>
          <w:rFonts w:ascii="仿宋" w:eastAsia="仿宋" w:hAnsi="仿宋" w:hint="eastAsia"/>
          <w:kern w:val="2"/>
          <w:sz w:val="32"/>
          <w:szCs w:val="32"/>
        </w:rPr>
        <w:t>；提取额占当年缴存额的</w:t>
      </w:r>
      <w:r>
        <w:rPr>
          <w:rFonts w:ascii="仿宋" w:eastAsia="仿宋" w:hAnsi="仿宋"/>
          <w:kern w:val="2"/>
          <w:sz w:val="32"/>
          <w:szCs w:val="32"/>
        </w:rPr>
        <w:t>79.54%</w:t>
      </w:r>
      <w:r>
        <w:rPr>
          <w:rFonts w:ascii="仿宋" w:eastAsia="仿宋" w:hAnsi="仿宋" w:hint="eastAsia"/>
          <w:kern w:val="2"/>
          <w:sz w:val="32"/>
          <w:szCs w:val="32"/>
        </w:rPr>
        <w:t>，比上年增加</w:t>
      </w:r>
      <w:r>
        <w:rPr>
          <w:rFonts w:ascii="仿宋" w:eastAsia="仿宋" w:hAnsi="仿宋"/>
          <w:kern w:val="2"/>
          <w:sz w:val="32"/>
          <w:szCs w:val="32"/>
        </w:rPr>
        <w:t>6.96</w:t>
      </w:r>
      <w:r>
        <w:rPr>
          <w:rFonts w:ascii="仿宋" w:eastAsia="仿宋" w:hAnsi="仿宋" w:hint="eastAsia"/>
          <w:kern w:val="2"/>
          <w:sz w:val="32"/>
          <w:szCs w:val="32"/>
        </w:rPr>
        <w:t>个百分点。</w:t>
      </w:r>
      <w:r>
        <w:rPr>
          <w:rFonts w:ascii="仿宋" w:eastAsia="仿宋" w:hAnsi="仿宋"/>
          <w:kern w:val="2"/>
          <w:sz w:val="32"/>
          <w:szCs w:val="32"/>
        </w:rPr>
        <w:t>2023</w:t>
      </w:r>
      <w:r>
        <w:rPr>
          <w:rFonts w:ascii="仿宋" w:eastAsia="仿宋" w:hAnsi="仿宋" w:hint="eastAsia"/>
          <w:kern w:val="2"/>
          <w:sz w:val="32"/>
          <w:szCs w:val="32"/>
        </w:rPr>
        <w:t>年末，提取总额</w:t>
      </w:r>
      <w:r>
        <w:rPr>
          <w:rFonts w:ascii="仿宋" w:eastAsia="仿宋" w:hAnsi="仿宋"/>
          <w:kern w:val="2"/>
          <w:sz w:val="32"/>
          <w:szCs w:val="32"/>
        </w:rPr>
        <w:t>221.02</w:t>
      </w:r>
      <w:r>
        <w:rPr>
          <w:rFonts w:ascii="仿宋" w:eastAsia="仿宋" w:hAnsi="仿宋" w:hint="eastAsia"/>
          <w:kern w:val="2"/>
          <w:sz w:val="32"/>
          <w:szCs w:val="32"/>
        </w:rPr>
        <w:t>亿元，比上年末增长</w:t>
      </w:r>
      <w:r>
        <w:rPr>
          <w:rFonts w:ascii="仿宋" w:eastAsia="仿宋" w:hAnsi="仿宋"/>
          <w:kern w:val="2"/>
          <w:sz w:val="32"/>
          <w:szCs w:val="32"/>
        </w:rPr>
        <w:t>16.03%</w:t>
      </w:r>
      <w:r>
        <w:rPr>
          <w:rFonts w:ascii="仿宋" w:eastAsia="仿宋" w:hAnsi="仿宋" w:hint="eastAsia"/>
          <w:kern w:val="2"/>
          <w:sz w:val="32"/>
          <w:szCs w:val="32"/>
        </w:rPr>
        <w:t>。</w:t>
      </w:r>
    </w:p>
    <w:p w:rsidR="008B3838" w:rsidRDefault="00BC7ECE">
      <w:pPr>
        <w:spacing w:line="596" w:lineRule="exact"/>
        <w:ind w:firstLineChars="200" w:firstLine="643"/>
        <w:rPr>
          <w:rFonts w:ascii="仿宋" w:eastAsia="仿宋" w:hAnsi="仿宋" w:cs="宋体"/>
          <w:kern w:val="0"/>
          <w:szCs w:val="32"/>
        </w:rPr>
      </w:pPr>
      <w:r>
        <w:rPr>
          <w:rFonts w:ascii="仿宋" w:eastAsia="仿宋" w:hAnsi="仿宋" w:cs="仿宋_GB2312" w:hint="eastAsia"/>
          <w:b/>
          <w:bCs/>
          <w:color w:val="000000"/>
          <w:kern w:val="0"/>
          <w:szCs w:val="32"/>
        </w:rPr>
        <w:t>3.贷款发放。</w:t>
      </w:r>
      <w:r>
        <w:rPr>
          <w:rFonts w:ascii="仿宋" w:eastAsia="仿宋" w:hAnsi="仿宋" w:cs="仿宋_GB2312" w:hint="eastAsia"/>
          <w:szCs w:val="32"/>
        </w:rPr>
        <w:t>2023年，发放个人住房贷款0.43万笔11.72亿元，比上年分别下降18.39%、16.03%。2023年末，累计发放个人住房贷款12.45万笔238.21亿元，贷款余额113.43亿元，分别比上年末增长3.61%、5.18%、0.19%。</w:t>
      </w:r>
      <w:r>
        <w:rPr>
          <w:rFonts w:ascii="仿宋" w:eastAsia="仿宋" w:hAnsi="仿宋" w:cs="宋体" w:hint="eastAsia"/>
          <w:kern w:val="0"/>
          <w:szCs w:val="32"/>
        </w:rPr>
        <w:t>贷存比为89.93%(出表后)，同比下降5.79个百分点。</w:t>
      </w:r>
    </w:p>
    <w:p w:rsidR="008B3838" w:rsidRDefault="00BC7ECE">
      <w:pPr>
        <w:adjustRightInd w:val="0"/>
        <w:snapToGrid w:val="0"/>
        <w:spacing w:line="596" w:lineRule="exact"/>
        <w:ind w:firstLineChars="200" w:firstLine="643"/>
        <w:rPr>
          <w:rFonts w:ascii="仿宋" w:eastAsia="仿宋" w:hAnsi="仿宋"/>
          <w:szCs w:val="32"/>
        </w:rPr>
      </w:pPr>
      <w:r>
        <w:rPr>
          <w:rFonts w:ascii="仿宋" w:eastAsia="仿宋" w:hAnsi="仿宋" w:cs="仿宋_GB2312" w:hint="eastAsia"/>
          <w:b/>
          <w:bCs/>
          <w:color w:val="000000"/>
          <w:szCs w:val="32"/>
        </w:rPr>
        <w:t>4.资金风险。</w:t>
      </w:r>
      <w:r>
        <w:rPr>
          <w:rFonts w:ascii="仿宋" w:eastAsia="仿宋" w:hAnsi="仿宋" w:cs="仿宋_GB2312" w:hint="eastAsia"/>
          <w:szCs w:val="32"/>
        </w:rPr>
        <w:t>2023年末，个人住房贷款逾期额220.12万元，逾期率0.19‰。个人贷款风险准备金余额22686.27万元。2023年，使用个人贷款风险准备金核销呆坏账0万元。</w:t>
      </w:r>
    </w:p>
    <w:p w:rsidR="008B3838" w:rsidRDefault="00BC7ECE">
      <w:pPr>
        <w:adjustRightInd w:val="0"/>
        <w:snapToGrid w:val="0"/>
        <w:spacing w:line="596" w:lineRule="exact"/>
        <w:ind w:firstLineChars="200" w:firstLine="643"/>
        <w:rPr>
          <w:rFonts w:ascii="仿宋" w:eastAsia="仿宋" w:hAnsi="仿宋" w:cs="仿宋_GB2312"/>
          <w:szCs w:val="32"/>
        </w:rPr>
      </w:pPr>
      <w:r>
        <w:rPr>
          <w:rFonts w:ascii="仿宋" w:eastAsia="仿宋" w:hAnsi="仿宋" w:cs="仿宋_GB2312" w:hint="eastAsia"/>
          <w:b/>
          <w:bCs/>
          <w:szCs w:val="32"/>
        </w:rPr>
        <w:t>5.增值收益。</w:t>
      </w:r>
      <w:r>
        <w:rPr>
          <w:rFonts w:ascii="仿宋" w:eastAsia="仿宋" w:hAnsi="仿宋" w:cs="仿宋_GB2312" w:hint="eastAsia"/>
          <w:szCs w:val="32"/>
        </w:rPr>
        <w:t>2023年，增值收益18779.96万元，比上</w:t>
      </w:r>
      <w:r>
        <w:rPr>
          <w:rFonts w:ascii="仿宋" w:eastAsia="仿宋" w:hAnsi="仿宋" w:cs="仿宋_GB2312" w:hint="eastAsia"/>
          <w:szCs w:val="32"/>
        </w:rPr>
        <w:lastRenderedPageBreak/>
        <w:t>年增长1.70%。增值收益率1.53%，比上年减少 0.1个百分点。</w:t>
      </w:r>
    </w:p>
    <w:p w:rsidR="008B3838" w:rsidRDefault="00BC7ECE">
      <w:pPr>
        <w:adjustRightInd w:val="0"/>
        <w:snapToGrid w:val="0"/>
        <w:spacing w:line="596" w:lineRule="exact"/>
        <w:ind w:firstLineChars="200" w:firstLine="640"/>
        <w:rPr>
          <w:rFonts w:ascii="仿宋" w:eastAsia="仿宋" w:hAnsi="仿宋" w:cs="仿宋_GB2312"/>
          <w:szCs w:val="32"/>
        </w:rPr>
      </w:pPr>
      <w:r>
        <w:rPr>
          <w:rFonts w:ascii="仿宋" w:eastAsia="仿宋" w:hAnsi="仿宋" w:cs="仿宋_GB2312" w:hint="eastAsia"/>
          <w:szCs w:val="32"/>
        </w:rPr>
        <w:t>6.</w:t>
      </w:r>
      <w:r>
        <w:rPr>
          <w:rFonts w:ascii="仿宋" w:eastAsia="仿宋" w:hAnsi="仿宋" w:cs="楷体_GB2312" w:hint="eastAsia"/>
          <w:b/>
          <w:szCs w:val="32"/>
        </w:rPr>
        <w:t>增值收益分配：</w:t>
      </w:r>
      <w:r>
        <w:rPr>
          <w:rFonts w:ascii="仿宋" w:eastAsia="仿宋" w:hAnsi="仿宋" w:cs="仿宋_GB2312" w:hint="eastAsia"/>
          <w:szCs w:val="32"/>
        </w:rPr>
        <w:t>2023年，提取贷款风险准备金42.34万元；提取管理费用5999.25万元，提取城市廉租住房（公共租赁住房）建设补充资金12738.37万元。</w:t>
      </w:r>
    </w:p>
    <w:p w:rsidR="008B3838" w:rsidRDefault="00BC7ECE">
      <w:pPr>
        <w:adjustRightInd w:val="0"/>
        <w:snapToGrid w:val="0"/>
        <w:spacing w:line="596" w:lineRule="exact"/>
        <w:ind w:firstLineChars="200" w:firstLine="640"/>
        <w:rPr>
          <w:rFonts w:ascii="仿宋" w:eastAsia="仿宋" w:hAnsi="仿宋" w:cs="仿宋_GB2312"/>
        </w:rPr>
      </w:pPr>
      <w:r>
        <w:rPr>
          <w:rFonts w:ascii="仿宋" w:eastAsia="仿宋" w:hAnsi="仿宋" w:cs="仿宋_GB2312" w:hint="eastAsia"/>
          <w:szCs w:val="32"/>
        </w:rPr>
        <w:t xml:space="preserve">2023年，上交财政管理费用5999.25万元。上缴财政城市廉租住房（公共租赁住房）建设补充资金13045.63万元。 </w:t>
      </w:r>
    </w:p>
    <w:p w:rsidR="008B3838" w:rsidRDefault="00BC7ECE">
      <w:pPr>
        <w:adjustRightInd w:val="0"/>
        <w:snapToGrid w:val="0"/>
        <w:spacing w:line="596" w:lineRule="exact"/>
        <w:ind w:firstLineChars="200" w:firstLine="640"/>
        <w:rPr>
          <w:rFonts w:ascii="仿宋" w:eastAsia="仿宋" w:hAnsi="仿宋" w:cs="仿宋_GB2312"/>
        </w:rPr>
      </w:pPr>
      <w:r>
        <w:rPr>
          <w:rFonts w:ascii="仿宋" w:eastAsia="仿宋" w:hAnsi="仿宋" w:cs="仿宋_GB2312" w:hint="eastAsia"/>
          <w:szCs w:val="32"/>
        </w:rPr>
        <w:t>2023年末，贷款风险准备金余额22686.27万元。累计提取城市廉租住房（公共租赁住房）建设补充资金103601万元。</w:t>
      </w:r>
    </w:p>
    <w:p w:rsidR="008B3838" w:rsidRDefault="00BC7ECE">
      <w:pPr>
        <w:adjustRightInd w:val="0"/>
        <w:snapToGrid w:val="0"/>
        <w:spacing w:line="596" w:lineRule="exact"/>
        <w:ind w:firstLineChars="200" w:firstLine="640"/>
        <w:rPr>
          <w:rFonts w:ascii="仿宋" w:eastAsia="仿宋" w:hAnsi="仿宋" w:cs="仿宋_GB2312"/>
        </w:rPr>
      </w:pPr>
      <w:r>
        <w:rPr>
          <w:rFonts w:ascii="仿宋" w:eastAsia="仿宋" w:hAnsi="仿宋" w:cs="仿宋_GB2312" w:hint="eastAsia"/>
          <w:szCs w:val="32"/>
        </w:rPr>
        <w:t>7.</w:t>
      </w:r>
      <w:r>
        <w:rPr>
          <w:rFonts w:ascii="仿宋" w:eastAsia="仿宋" w:hAnsi="仿宋" w:cs="楷体_GB2312" w:hint="eastAsia"/>
          <w:b/>
          <w:szCs w:val="32"/>
        </w:rPr>
        <w:t>住房贡献率。</w:t>
      </w:r>
      <w:r>
        <w:rPr>
          <w:rFonts w:ascii="仿宋" w:eastAsia="仿宋" w:hAnsi="仿宋" w:cs="仿宋_GB2312" w:hint="eastAsia"/>
          <w:szCs w:val="32"/>
        </w:rPr>
        <w:t>2023年，个人住房贷款发放额、公转商贴息贷款发放额、项目贷款发放额、住房消费提取额的总和与当年缴存额的比率为85.75%，比上年减少5.82个百分点。</w:t>
      </w:r>
    </w:p>
    <w:p w:rsidR="008B3838" w:rsidRDefault="00BC7ECE">
      <w:pPr>
        <w:spacing w:line="596" w:lineRule="exact"/>
        <w:ind w:firstLineChars="150" w:firstLine="480"/>
        <w:rPr>
          <w:rFonts w:ascii="仿宋" w:eastAsia="仿宋" w:hAnsi="仿宋" w:cs="楷体_GB2312"/>
          <w:color w:val="000000"/>
          <w:szCs w:val="32"/>
        </w:rPr>
      </w:pPr>
      <w:r>
        <w:rPr>
          <w:rFonts w:ascii="仿宋" w:eastAsia="仿宋" w:hAnsi="仿宋" w:cs="楷体_GB2312" w:hint="eastAsia"/>
          <w:color w:val="000000"/>
          <w:szCs w:val="32"/>
        </w:rPr>
        <w:t>（二）主要绩效及评价结论</w:t>
      </w:r>
    </w:p>
    <w:p w:rsidR="008B3838" w:rsidRDefault="00BC7ECE">
      <w:pPr>
        <w:spacing w:line="596" w:lineRule="exact"/>
        <w:ind w:firstLine="645"/>
        <w:rPr>
          <w:rFonts w:ascii="仿宋" w:eastAsia="仿宋" w:hAnsi="仿宋"/>
          <w:szCs w:val="32"/>
        </w:rPr>
      </w:pPr>
      <w:r>
        <w:rPr>
          <w:rFonts w:ascii="仿宋" w:eastAsia="仿宋" w:hAnsi="仿宋" w:cs="楷体_GB2312" w:hint="eastAsia"/>
          <w:color w:val="000000"/>
          <w:szCs w:val="32"/>
        </w:rPr>
        <w:t>市公积金中心部门整体支出绩效情况自评如下</w:t>
      </w:r>
      <w:r>
        <w:rPr>
          <w:rFonts w:ascii="仿宋" w:eastAsia="仿宋" w:hAnsi="仿宋" w:hint="eastAsia"/>
          <w:szCs w:val="32"/>
        </w:rPr>
        <w:t>：</w:t>
      </w:r>
    </w:p>
    <w:p w:rsidR="008B3838" w:rsidRDefault="00BC7ECE">
      <w:pPr>
        <w:spacing w:line="596" w:lineRule="exact"/>
        <w:ind w:firstLineChars="200" w:firstLine="643"/>
        <w:rPr>
          <w:rFonts w:ascii="仿宋" w:eastAsia="仿宋" w:hAnsi="仿宋" w:cs="仿宋_GB2312"/>
          <w:color w:val="000000"/>
          <w:szCs w:val="32"/>
        </w:rPr>
      </w:pPr>
      <w:r>
        <w:rPr>
          <w:rFonts w:ascii="仿宋" w:eastAsia="仿宋" w:hAnsi="仿宋" w:cs="仿宋_GB2312" w:hint="eastAsia"/>
          <w:b/>
          <w:bCs/>
          <w:color w:val="000000"/>
          <w:szCs w:val="32"/>
        </w:rPr>
        <w:t>1.发挥政策优势，助力房地产市场健康发展。一是</w:t>
      </w:r>
      <w:r>
        <w:rPr>
          <w:rFonts w:ascii="仿宋" w:eastAsia="仿宋" w:hAnsi="仿宋" w:cs="仿宋_GB2312" w:hint="eastAsia"/>
          <w:color w:val="000000"/>
          <w:szCs w:val="32"/>
        </w:rPr>
        <w:t>联合省农村信用联社益阳办事处，率先在益阳农商行试点开通“商业银行购房贷款转住房公积金组合贷款”，正式打通商转公积金组合贷渠道。</w:t>
      </w:r>
      <w:r>
        <w:rPr>
          <w:rFonts w:ascii="仿宋" w:eastAsia="仿宋" w:hAnsi="仿宋" w:cs="仿宋_GB2312" w:hint="eastAsia"/>
          <w:b/>
          <w:bCs/>
          <w:color w:val="000000"/>
          <w:szCs w:val="32"/>
        </w:rPr>
        <w:t>二是</w:t>
      </w:r>
      <w:r>
        <w:rPr>
          <w:rFonts w:ascii="仿宋" w:eastAsia="仿宋" w:hAnsi="仿宋" w:cs="仿宋_GB2312" w:hint="eastAsia"/>
          <w:color w:val="000000"/>
          <w:szCs w:val="32"/>
        </w:rPr>
        <w:t>研究出台多子女家庭公积金支持政策，多子女家庭的住房公积金最高贷款额度较一般家庭提升10万元，提取限额较规定额度标准上浮50%。</w:t>
      </w:r>
      <w:r>
        <w:rPr>
          <w:rFonts w:ascii="仿宋" w:eastAsia="仿宋" w:hAnsi="仿宋" w:cs="仿宋_GB2312" w:hint="eastAsia"/>
          <w:b/>
          <w:bCs/>
          <w:color w:val="000000"/>
          <w:szCs w:val="32"/>
        </w:rPr>
        <w:t>三是</w:t>
      </w:r>
      <w:r>
        <w:rPr>
          <w:rFonts w:ascii="仿宋" w:eastAsia="仿宋" w:hAnsi="仿宋" w:cs="仿宋_GB2312" w:hint="eastAsia"/>
          <w:color w:val="000000"/>
          <w:szCs w:val="32"/>
        </w:rPr>
        <w:t>积极探索提取公积金支付购房首付款工作，缴存职工与房地产开发企业签订《商品房认购协议》和相关承诺书后，即可提取家</w:t>
      </w:r>
      <w:r>
        <w:rPr>
          <w:rFonts w:ascii="仿宋" w:eastAsia="仿宋" w:hAnsi="仿宋" w:cs="仿宋_GB2312" w:hint="eastAsia"/>
          <w:color w:val="000000"/>
          <w:szCs w:val="32"/>
        </w:rPr>
        <w:lastRenderedPageBreak/>
        <w:t>庭公积金用于支付购房首付款。</w:t>
      </w:r>
      <w:r>
        <w:rPr>
          <w:rFonts w:ascii="仿宋" w:eastAsia="仿宋" w:hAnsi="仿宋" w:cs="仿宋_GB2312" w:hint="eastAsia"/>
          <w:b/>
          <w:bCs/>
          <w:color w:val="000000"/>
          <w:szCs w:val="32"/>
        </w:rPr>
        <w:t>四是</w:t>
      </w:r>
      <w:r>
        <w:rPr>
          <w:rFonts w:ascii="仿宋" w:eastAsia="仿宋" w:hAnsi="仿宋" w:cs="仿宋_GB2312" w:hint="eastAsia"/>
          <w:color w:val="000000"/>
          <w:szCs w:val="32"/>
        </w:rPr>
        <w:t>推出商转公（顺位抵押）业务，贷款职工申请商业银行住房贷款转住房公积金贷款，可由益阳中心将其申请的个人住房公积金贷款资金发放至原商业银行贷款账户，无需再自筹资金结清原商业住房贷款，还款压力大大减轻。</w:t>
      </w:r>
      <w:r>
        <w:rPr>
          <w:rFonts w:ascii="仿宋" w:eastAsia="仿宋" w:hAnsi="仿宋" w:cs="仿宋_GB2312" w:hint="eastAsia"/>
          <w:b/>
          <w:bCs/>
          <w:color w:val="000000"/>
          <w:szCs w:val="32"/>
        </w:rPr>
        <w:t>五是</w:t>
      </w:r>
      <w:r>
        <w:rPr>
          <w:rFonts w:ascii="仿宋" w:eastAsia="仿宋" w:hAnsi="仿宋" w:cs="仿宋_GB2312" w:hint="eastAsia"/>
          <w:color w:val="000000"/>
          <w:szCs w:val="32"/>
        </w:rPr>
        <w:t>上缴城市廉租住房建设补充资金1.31亿元，实现增值收益1.88亿元。经报市住房公积金管理委员会2023年全体会议审定，“十四五”期间，将从住房公积金增值收益中统筹1亿元，用于中心城区保障性住房项目。</w:t>
      </w:r>
      <w:r>
        <w:rPr>
          <w:rFonts w:ascii="仿宋" w:eastAsia="仿宋" w:hAnsi="仿宋" w:cs="仿宋_GB2312" w:hint="eastAsia"/>
          <w:b/>
          <w:bCs/>
          <w:color w:val="000000"/>
          <w:szCs w:val="32"/>
        </w:rPr>
        <w:t>六是</w:t>
      </w:r>
      <w:r>
        <w:rPr>
          <w:rFonts w:ascii="仿宋" w:eastAsia="仿宋" w:hAnsi="仿宋" w:cs="仿宋_GB2312" w:hint="eastAsia"/>
          <w:color w:val="000000"/>
          <w:szCs w:val="32"/>
        </w:rPr>
        <w:t>继续实施宽松的贷款使用政策。住房公积金最高贷款额度为45万，纯公积金贷款比例最高可为房价的80%，提供住房公积金贷款的房屋面积上限为200㎡，认定家庭贷款次数时只算公积金贷款次数。</w:t>
      </w:r>
    </w:p>
    <w:p w:rsidR="008B3838" w:rsidRDefault="00BC7ECE">
      <w:pPr>
        <w:spacing w:line="596" w:lineRule="exact"/>
        <w:ind w:firstLineChars="200" w:firstLine="643"/>
        <w:rPr>
          <w:rFonts w:ascii="仿宋" w:eastAsia="仿宋" w:hAnsi="仿宋" w:cs="仿宋_GB2312"/>
          <w:color w:val="000000"/>
          <w:szCs w:val="32"/>
        </w:rPr>
      </w:pPr>
      <w:r>
        <w:rPr>
          <w:rFonts w:ascii="仿宋" w:eastAsia="仿宋" w:hAnsi="仿宋" w:cs="仿宋_GB2312" w:hint="eastAsia"/>
          <w:b/>
          <w:color w:val="000000"/>
          <w:szCs w:val="32"/>
        </w:rPr>
        <w:t>2.深入推进“放管服”改革，着力稳定房地产市场。</w:t>
      </w:r>
      <w:r>
        <w:rPr>
          <w:rFonts w:ascii="仿宋" w:eastAsia="仿宋" w:hAnsi="仿宋" w:cs="仿宋_GB2312" w:hint="eastAsia"/>
          <w:bCs/>
          <w:color w:val="000000"/>
          <w:szCs w:val="32"/>
        </w:rPr>
        <w:t>益阳</w:t>
      </w:r>
      <w:r>
        <w:rPr>
          <w:rFonts w:ascii="仿宋" w:eastAsia="仿宋" w:hAnsi="仿宋" w:cs="仿宋_GB2312" w:hint="eastAsia"/>
          <w:color w:val="000000"/>
          <w:szCs w:val="32"/>
        </w:rPr>
        <w:t>中心深入推进“放管服”改革，严格落实省、市“降成本、优环境”工作要求，进一步强化措施，集中清退各房企历年贷款保证金，切实减轻企业经济负担，营造良好营商环境。截至2023年底，累计退付223家房地产开发企业贷款保证金4.17亿元，退付率97%，为促进益阳房地产市场健康发展作出了积极贡献。</w:t>
      </w:r>
    </w:p>
    <w:p w:rsidR="008B3838" w:rsidRDefault="00BC7ECE">
      <w:pPr>
        <w:spacing w:line="596" w:lineRule="exact"/>
        <w:ind w:firstLineChars="200" w:firstLine="643"/>
        <w:rPr>
          <w:rFonts w:ascii="仿宋" w:eastAsia="仿宋" w:hAnsi="仿宋" w:cs="仿宋_GB2312"/>
          <w:bCs/>
          <w:color w:val="000000"/>
          <w:szCs w:val="32"/>
        </w:rPr>
      </w:pPr>
      <w:r>
        <w:rPr>
          <w:rFonts w:ascii="仿宋" w:eastAsia="仿宋" w:hAnsi="仿宋" w:cs="仿宋_GB2312" w:hint="eastAsia"/>
          <w:b/>
          <w:color w:val="000000"/>
          <w:szCs w:val="32"/>
        </w:rPr>
        <w:t>3.不断丰富公积金数字化应用场景。一是</w:t>
      </w:r>
      <w:r>
        <w:rPr>
          <w:rFonts w:ascii="仿宋" w:eastAsia="仿宋" w:hAnsi="仿宋" w:cs="仿宋_GB2312" w:hint="eastAsia"/>
          <w:bCs/>
          <w:color w:val="000000"/>
          <w:szCs w:val="32"/>
        </w:rPr>
        <w:t>全领域推进数据共享。依托市政务数据共享平台，实现公安、民政、不动产、人民银行、法院等多部门数据对接，可查询户籍、婚姻、房产、征信、个人商业贷款信息等政务数据。</w:t>
      </w:r>
      <w:r>
        <w:rPr>
          <w:rFonts w:ascii="仿宋" w:eastAsia="仿宋" w:hAnsi="仿宋" w:cs="仿宋_GB2312" w:hint="eastAsia"/>
          <w:b/>
          <w:color w:val="000000"/>
          <w:szCs w:val="32"/>
        </w:rPr>
        <w:t>二是</w:t>
      </w:r>
      <w:r>
        <w:rPr>
          <w:rFonts w:ascii="仿宋" w:eastAsia="仿宋" w:hAnsi="仿宋" w:cs="仿宋_GB2312" w:hint="eastAsia"/>
          <w:bCs/>
          <w:color w:val="000000"/>
          <w:szCs w:val="32"/>
        </w:rPr>
        <w:t>在网厅、</w:t>
      </w:r>
      <w:r>
        <w:rPr>
          <w:rFonts w:ascii="仿宋" w:eastAsia="仿宋" w:hAnsi="仿宋" w:cs="仿宋_GB2312" w:hint="eastAsia"/>
          <w:bCs/>
          <w:color w:val="000000"/>
          <w:szCs w:val="32"/>
        </w:rPr>
        <w:lastRenderedPageBreak/>
        <w:t>微信公众号、手机APP等渠道基础上，新增湘易办、益办事等线上业务查询、办理渠道。同时，不断拓宽网上业务办理深度。目前，公积金归集业务及部分提取、贷款业务基本实现线上办理。电子签章系统已涵盖了业务提取、汇缴登记、证明出具等多项业务。</w:t>
      </w:r>
      <w:r>
        <w:rPr>
          <w:rFonts w:ascii="仿宋" w:eastAsia="仿宋" w:hAnsi="仿宋" w:cs="仿宋_GB2312" w:hint="eastAsia"/>
          <w:b/>
          <w:color w:val="000000"/>
          <w:szCs w:val="32"/>
        </w:rPr>
        <w:t>三是</w:t>
      </w:r>
      <w:r>
        <w:rPr>
          <w:rFonts w:ascii="仿宋" w:eastAsia="仿宋" w:hAnsi="仿宋" w:cs="仿宋_GB2312" w:hint="eastAsia"/>
          <w:bCs/>
          <w:color w:val="000000"/>
          <w:szCs w:val="32"/>
        </w:rPr>
        <w:t>积极探索数字化可持续发展人力、技术及资金保障。充分发挥数据资源流通优势，与合作银行开展数字化共建共享战略合作，为数字化可持续发展提供动力。</w:t>
      </w:r>
    </w:p>
    <w:p w:rsidR="008B3838" w:rsidRDefault="00BC7ECE">
      <w:pPr>
        <w:spacing w:line="596" w:lineRule="exact"/>
        <w:ind w:firstLineChars="200" w:firstLine="643"/>
        <w:rPr>
          <w:rFonts w:ascii="仿宋" w:eastAsia="仿宋" w:hAnsi="仿宋" w:cs="仿宋_GB2312"/>
          <w:bCs/>
          <w:color w:val="000000"/>
          <w:szCs w:val="32"/>
        </w:rPr>
      </w:pPr>
      <w:r>
        <w:rPr>
          <w:rFonts w:ascii="仿宋" w:eastAsia="仿宋" w:hAnsi="仿宋" w:cs="仿宋_GB2312" w:hint="eastAsia"/>
          <w:b/>
          <w:color w:val="000000"/>
          <w:szCs w:val="32"/>
        </w:rPr>
        <w:t>4.健全风险防控机制。一是</w:t>
      </w:r>
      <w:r>
        <w:rPr>
          <w:rFonts w:ascii="仿宋" w:eastAsia="仿宋" w:hAnsi="仿宋" w:cs="仿宋_GB2312" w:hint="eastAsia"/>
          <w:bCs/>
          <w:color w:val="000000"/>
          <w:szCs w:val="32"/>
        </w:rPr>
        <w:t>完成业务办理电脑终端国产化适配。各营业网点均已实现业务系统与电子档案系统兼容，终端设备全面实现国产化。</w:t>
      </w:r>
      <w:r>
        <w:rPr>
          <w:rFonts w:ascii="仿宋" w:eastAsia="仿宋" w:hAnsi="仿宋" w:cs="仿宋_GB2312" w:hint="eastAsia"/>
          <w:b/>
          <w:color w:val="000000"/>
          <w:szCs w:val="32"/>
        </w:rPr>
        <w:t>二是</w:t>
      </w:r>
      <w:r>
        <w:rPr>
          <w:rFonts w:ascii="仿宋" w:eastAsia="仿宋" w:hAnsi="仿宋" w:cs="仿宋_GB2312" w:hint="eastAsia"/>
          <w:bCs/>
          <w:color w:val="000000"/>
          <w:szCs w:val="32"/>
        </w:rPr>
        <w:t>强化信用体系建设，加快征信共享接入。</w:t>
      </w:r>
      <w:r>
        <w:rPr>
          <w:rFonts w:ascii="仿宋" w:eastAsia="仿宋" w:hAnsi="仿宋" w:cs="仿宋_GB2312" w:hint="eastAsia"/>
          <w:szCs w:val="32"/>
        </w:rPr>
        <w:t>通过住建部与中国人民银行接口“总对总”方式，实现职工征信信息实时查询与贷款数据按月上报。目前，征信查询接口已完成系统开发，进入系统需求测试阶段。贷款数据上报工作，按照人民银行相关要求，已完成第三轮验收，将尽早实现增量贷款的数据报送。</w:t>
      </w:r>
      <w:r>
        <w:rPr>
          <w:rFonts w:ascii="仿宋" w:eastAsia="仿宋" w:hAnsi="仿宋" w:cs="仿宋_GB2312" w:hint="eastAsia"/>
          <w:b/>
          <w:bCs/>
          <w:szCs w:val="32"/>
        </w:rPr>
        <w:t>三是</w:t>
      </w:r>
      <w:r>
        <w:rPr>
          <w:rFonts w:ascii="仿宋" w:eastAsia="仿宋" w:hAnsi="仿宋" w:cs="仿宋_GB2312" w:hint="eastAsia"/>
          <w:szCs w:val="32"/>
        </w:rPr>
        <w:t>加强数据治理，确保基础数据准确完整和安全可用。以电子稽查工具、数据质检工具为抓手，将疑点数据的字段名称、问题描述及其对应检核SQL语句规则提炼出来，明确数据指标口径和风险隐患整改要求，对排查出的问题数据精准分类整改，努力提升中心数据质量。</w:t>
      </w:r>
      <w:r>
        <w:rPr>
          <w:rFonts w:ascii="仿宋" w:eastAsia="仿宋" w:hAnsi="仿宋" w:cs="仿宋_GB2312" w:hint="eastAsia"/>
          <w:b/>
          <w:bCs/>
          <w:szCs w:val="32"/>
        </w:rPr>
        <w:t>四是</w:t>
      </w:r>
      <w:r>
        <w:rPr>
          <w:rFonts w:ascii="仿宋" w:eastAsia="仿宋" w:hAnsi="仿宋" w:cs="仿宋_GB2312" w:hint="eastAsia"/>
          <w:szCs w:val="32"/>
        </w:rPr>
        <w:t>筑牢网络安全防线。顺利完成全省组织的“湖湘杯”网络安全攻防演练。通过积极协调网络防护资源，实行7*24小时实时动态监测，全方位不间断严防死守，</w:t>
      </w:r>
      <w:r>
        <w:rPr>
          <w:rFonts w:ascii="仿宋" w:eastAsia="仿宋" w:hAnsi="仿宋" w:cs="仿宋_GB2312" w:hint="eastAsia"/>
          <w:szCs w:val="32"/>
        </w:rPr>
        <w:lastRenderedPageBreak/>
        <w:t>认真分析威胁情报，及时有效处置和溯源，成功抵御了高密度网络攻击，确保了中心在演练期间的业务网络安全稳定。</w:t>
      </w:r>
    </w:p>
    <w:p w:rsidR="008B3838" w:rsidRDefault="00BC7ECE">
      <w:pPr>
        <w:spacing w:line="596" w:lineRule="exact"/>
        <w:ind w:firstLineChars="200" w:firstLine="640"/>
        <w:rPr>
          <w:rFonts w:ascii="仿宋" w:eastAsia="仿宋" w:hAnsi="仿宋" w:cs="楷体_GB2312"/>
          <w:color w:val="000000"/>
          <w:szCs w:val="32"/>
        </w:rPr>
      </w:pPr>
      <w:r>
        <w:rPr>
          <w:rFonts w:ascii="仿宋" w:eastAsia="仿宋" w:hAnsi="仿宋" w:cs="楷体_GB2312" w:hint="eastAsia"/>
          <w:color w:val="000000"/>
          <w:szCs w:val="32"/>
        </w:rPr>
        <w:t>（三）工作经验</w:t>
      </w:r>
    </w:p>
    <w:p w:rsidR="008B3838" w:rsidRDefault="00BC7ECE">
      <w:pPr>
        <w:spacing w:line="596" w:lineRule="exact"/>
        <w:ind w:firstLineChars="200" w:firstLine="643"/>
        <w:rPr>
          <w:rFonts w:ascii="仿宋" w:eastAsia="仿宋" w:hAnsi="仿宋" w:cs="仿宋_GB2312"/>
          <w:color w:val="000000"/>
          <w:kern w:val="0"/>
          <w:szCs w:val="32"/>
        </w:rPr>
      </w:pPr>
      <w:r>
        <w:rPr>
          <w:rFonts w:ascii="仿宋" w:eastAsia="仿宋" w:hAnsi="仿宋" w:cs="仿宋_GB2312" w:hint="eastAsia"/>
          <w:b/>
          <w:color w:val="000000"/>
          <w:szCs w:val="32"/>
        </w:rPr>
        <w:t>1.加大逾期贷款催收力度及破产企业住房公积金事务办理。</w:t>
      </w:r>
      <w:r>
        <w:rPr>
          <w:rFonts w:ascii="仿宋" w:eastAsia="仿宋" w:hAnsi="仿宋" w:cs="仿宋_GB2312" w:hint="eastAsia"/>
          <w:color w:val="000000"/>
          <w:szCs w:val="32"/>
        </w:rPr>
        <w:t>通过将“贷款逾期率”作为重点工作指标，加大逾期贷款催收力度，简化收款方式，2023年利用工行二维码催收逾期贷款800万元。</w:t>
      </w:r>
      <w:r>
        <w:rPr>
          <w:rFonts w:ascii="仿宋" w:eastAsia="仿宋" w:hAnsi="仿宋" w:cs="仿宋_GB2312" w:hint="eastAsia"/>
          <w:color w:val="000000"/>
          <w:kern w:val="0"/>
          <w:szCs w:val="32"/>
        </w:rPr>
        <w:t>与益阳市中级人民法院联合印发《关于优化破产企业涉住房公积金事务办理的实施意见》，有效缩短破产企业住房公积金债权案件办理时长，加快住房公积金债权案件受偿速度，有效保障职工合法权益。</w:t>
      </w:r>
    </w:p>
    <w:p w:rsidR="008B3838" w:rsidRDefault="00BC7ECE">
      <w:pPr>
        <w:spacing w:line="596" w:lineRule="exact"/>
        <w:ind w:firstLineChars="200" w:firstLine="643"/>
        <w:rPr>
          <w:rFonts w:ascii="仿宋" w:eastAsia="仿宋" w:hAnsi="仿宋" w:cs="仿宋_GB2312"/>
          <w:color w:val="000000"/>
          <w:szCs w:val="32"/>
        </w:rPr>
      </w:pPr>
      <w:r>
        <w:rPr>
          <w:rFonts w:ascii="仿宋" w:eastAsia="仿宋" w:hAnsi="仿宋" w:cs="仿宋_GB2312" w:hint="eastAsia"/>
          <w:b/>
          <w:color w:val="000000"/>
          <w:szCs w:val="32"/>
        </w:rPr>
        <w:t>2.加强服务质效闭环管理。</w:t>
      </w:r>
      <w:r>
        <w:rPr>
          <w:rFonts w:ascii="仿宋" w:eastAsia="仿宋" w:hAnsi="仿宋" w:cs="仿宋_GB2312" w:hint="eastAsia"/>
          <w:color w:val="000000"/>
          <w:szCs w:val="32"/>
        </w:rPr>
        <w:t>坚持通过12329住房公积金服务热线每天回访办理了住房公积金提取、贷款业务的客户，每月回访贷款合作的楼盘，收集他们的意见、建议，严防索拿卡要现象，严查庸政懒政问题，并形成通报公布在内部办公系统。</w:t>
      </w:r>
    </w:p>
    <w:p w:rsidR="008B3838" w:rsidRDefault="00BC7ECE">
      <w:pPr>
        <w:spacing w:line="596" w:lineRule="exact"/>
        <w:ind w:firstLineChars="200" w:firstLine="643"/>
        <w:outlineLvl w:val="0"/>
        <w:rPr>
          <w:rFonts w:ascii="仿宋" w:eastAsia="仿宋" w:hAnsi="仿宋" w:cs="仿宋_GB2312"/>
          <w:color w:val="000000"/>
          <w:szCs w:val="32"/>
        </w:rPr>
      </w:pPr>
      <w:r>
        <w:rPr>
          <w:rFonts w:ascii="仿宋" w:eastAsia="仿宋" w:hAnsi="仿宋" w:cs="仿宋_GB2312" w:hint="eastAsia"/>
          <w:b/>
          <w:color w:val="000000"/>
          <w:szCs w:val="32"/>
        </w:rPr>
        <w:t>3.严格执行差错监督管理。</w:t>
      </w:r>
      <w:r>
        <w:rPr>
          <w:rFonts w:ascii="仿宋" w:eastAsia="仿宋" w:hAnsi="仿宋" w:hint="eastAsia"/>
          <w:color w:val="000000"/>
          <w:szCs w:val="32"/>
        </w:rPr>
        <w:t>管理科室在本部门职责范围内，分别定期开展相关工作的检查和通报，全面覆盖中心所有管理工作。办公室按月检查各部门管理工作的开展情况，法制科按周全面稽核所有业务、财务工作开展情况，财务科按月检查住房公积金贷款质量、贷后服务和合作银行组合贷款及合作业务办理情况，信息科按月检查各营业网点网上业务推广情况。所有检查通报提交党组会议审议，均第一时间在内部办公系统公布，起到了提醒提示的良好效果。</w:t>
      </w:r>
    </w:p>
    <w:p w:rsidR="008B3838" w:rsidRDefault="00BC7ECE">
      <w:pPr>
        <w:spacing w:line="596" w:lineRule="exact"/>
        <w:ind w:firstLineChars="200" w:firstLine="643"/>
        <w:jc w:val="left"/>
        <w:rPr>
          <w:rFonts w:ascii="仿宋" w:eastAsia="仿宋" w:hAnsi="仿宋"/>
          <w:color w:val="000000"/>
          <w:szCs w:val="32"/>
        </w:rPr>
      </w:pPr>
      <w:r>
        <w:rPr>
          <w:rFonts w:ascii="仿宋" w:eastAsia="仿宋" w:hAnsi="仿宋" w:cs="仿宋_GB2312" w:hint="eastAsia"/>
          <w:b/>
          <w:color w:val="000000"/>
          <w:szCs w:val="32"/>
        </w:rPr>
        <w:lastRenderedPageBreak/>
        <w:t>4.强化正向激励引导。</w:t>
      </w:r>
      <w:r>
        <w:rPr>
          <w:rFonts w:ascii="仿宋" w:eastAsia="仿宋" w:hAnsi="仿宋" w:hint="eastAsia"/>
          <w:color w:val="000000"/>
          <w:szCs w:val="32"/>
        </w:rPr>
        <w:t>严格执行涵盖住房公积金事业发展、住房公积金中心单位管理、住房公积金从业人员成长等指标的全方位和单位考核部门、部门考核职工的立体式绩效管理体系。每季度对常态化归集扩面工作进行了考核排名并公布考核结果。</w:t>
      </w:r>
    </w:p>
    <w:p w:rsidR="008B3838" w:rsidRDefault="00BC7ECE">
      <w:pPr>
        <w:pStyle w:val="a7"/>
        <w:spacing w:line="596" w:lineRule="exact"/>
        <w:ind w:firstLine="640"/>
        <w:rPr>
          <w:rFonts w:ascii="Times New Roman" w:eastAsia="黑体" w:hAnsi="Times New Roman"/>
          <w:szCs w:val="32"/>
        </w:rPr>
      </w:pPr>
      <w:r>
        <w:rPr>
          <w:rFonts w:ascii="Times New Roman" w:eastAsia="黑体" w:hAnsi="Times New Roman"/>
          <w:szCs w:val="32"/>
        </w:rPr>
        <w:t>七、存在的问题及原因分析</w:t>
      </w:r>
    </w:p>
    <w:p w:rsidR="008B3838" w:rsidRDefault="00BC7ECE">
      <w:pPr>
        <w:spacing w:line="596" w:lineRule="exact"/>
        <w:ind w:firstLineChars="200" w:firstLine="640"/>
        <w:rPr>
          <w:rFonts w:ascii="仿宋" w:eastAsia="仿宋" w:hAnsi="仿宋" w:cs="宋体"/>
          <w:color w:val="000000"/>
          <w:kern w:val="0"/>
          <w:szCs w:val="32"/>
        </w:rPr>
      </w:pPr>
      <w:r>
        <w:rPr>
          <w:rFonts w:ascii="仿宋" w:eastAsia="仿宋" w:hAnsi="仿宋" w:cs="宋体" w:hint="eastAsia"/>
          <w:color w:val="000000"/>
          <w:kern w:val="0"/>
          <w:szCs w:val="32"/>
        </w:rPr>
        <w:t>1.2023年，贷款发放笔数、发放金额均有所下降，资金使用效率有所降低。主要原因是受经济大环境影响，包括我市在内的国内房地产市场普遍低迷，缴存职工购房意愿整体较弱、贷款需求不足。</w:t>
      </w:r>
    </w:p>
    <w:p w:rsidR="008B3838" w:rsidRDefault="00BC7ECE">
      <w:pPr>
        <w:spacing w:line="596" w:lineRule="exact"/>
        <w:ind w:firstLineChars="200" w:firstLine="640"/>
        <w:rPr>
          <w:rFonts w:ascii="仿宋" w:eastAsia="仿宋" w:hAnsi="仿宋" w:cs="宋体"/>
          <w:color w:val="000000"/>
          <w:kern w:val="0"/>
          <w:szCs w:val="32"/>
        </w:rPr>
      </w:pPr>
      <w:r>
        <w:rPr>
          <w:rFonts w:ascii="仿宋" w:eastAsia="仿宋" w:hAnsi="仿宋" w:cs="宋体" w:hint="eastAsia"/>
          <w:color w:val="000000"/>
          <w:kern w:val="0"/>
          <w:szCs w:val="32"/>
        </w:rPr>
        <w:t>2.诸多因素影响使贷后管理、逾期贷款催收工作压力增大。风险准备金使用困难，资金难以得到有效使用，社会效益难以提高。</w:t>
      </w:r>
    </w:p>
    <w:p w:rsidR="008B3838" w:rsidRDefault="00BC7ECE">
      <w:pPr>
        <w:spacing w:line="596" w:lineRule="exact"/>
        <w:ind w:firstLineChars="200" w:firstLine="640"/>
        <w:rPr>
          <w:rFonts w:eastAsia="黑体"/>
          <w:szCs w:val="32"/>
        </w:rPr>
      </w:pPr>
      <w:r>
        <w:rPr>
          <w:rFonts w:eastAsia="黑体"/>
          <w:szCs w:val="32"/>
        </w:rPr>
        <w:t>八、下一步改进措施</w:t>
      </w:r>
    </w:p>
    <w:p w:rsidR="008B3838" w:rsidRDefault="00BC7ECE">
      <w:pPr>
        <w:widowControl/>
        <w:spacing w:line="596" w:lineRule="exact"/>
        <w:ind w:firstLineChars="200" w:firstLine="643"/>
        <w:rPr>
          <w:rFonts w:ascii="仿宋" w:eastAsia="仿宋" w:hAnsi="仿宋"/>
          <w:szCs w:val="32"/>
        </w:rPr>
      </w:pPr>
      <w:r>
        <w:rPr>
          <w:rFonts w:ascii="仿宋" w:eastAsia="仿宋" w:hAnsi="仿宋" w:cs="仿宋_GB2312" w:hint="eastAsia"/>
          <w:b/>
          <w:bCs/>
          <w:szCs w:val="32"/>
        </w:rPr>
        <w:t>1.积极主动服务中心大局。</w:t>
      </w:r>
      <w:r>
        <w:rPr>
          <w:rFonts w:ascii="仿宋" w:eastAsia="仿宋" w:hAnsi="仿宋" w:hint="eastAsia"/>
          <w:b/>
          <w:bCs/>
          <w:szCs w:val="32"/>
        </w:rPr>
        <w:t>一是</w:t>
      </w:r>
      <w:r>
        <w:rPr>
          <w:rFonts w:ascii="仿宋" w:eastAsia="仿宋" w:hAnsi="仿宋" w:hint="eastAsia"/>
          <w:szCs w:val="32"/>
        </w:rPr>
        <w:t>继续支持我市房地产市场平稳健康发展，进一步优化家庭“贷款次数”认定标准，住房公积金贷款只认本地和异地公积金贷款次数，商业银行住房贷款次数不纳入，同时适时延续和完善住房公积金支持房地产市场发展各项政策。</w:t>
      </w:r>
      <w:r>
        <w:rPr>
          <w:rFonts w:ascii="仿宋" w:eastAsia="仿宋" w:hAnsi="仿宋" w:hint="eastAsia"/>
          <w:b/>
          <w:bCs/>
          <w:szCs w:val="32"/>
        </w:rPr>
        <w:t>二是</w:t>
      </w:r>
      <w:r>
        <w:rPr>
          <w:rFonts w:ascii="仿宋" w:eastAsia="仿宋" w:hAnsi="仿宋" w:hint="eastAsia"/>
          <w:szCs w:val="32"/>
        </w:rPr>
        <w:t>贯彻落实“强中心城区战略”文件要求，加大住房公积金政策支持力度，更好满足中心城区购房职工刚性和改善性住房需求。</w:t>
      </w:r>
      <w:r>
        <w:rPr>
          <w:rFonts w:ascii="仿宋" w:eastAsia="仿宋" w:hAnsi="仿宋" w:hint="eastAsia"/>
          <w:b/>
          <w:bCs/>
          <w:szCs w:val="32"/>
        </w:rPr>
        <w:t>三是</w:t>
      </w:r>
      <w:r>
        <w:rPr>
          <w:rFonts w:ascii="仿宋" w:eastAsia="仿宋" w:hAnsi="仿宋" w:hint="eastAsia"/>
          <w:szCs w:val="32"/>
        </w:rPr>
        <w:t>加大住房消费支持力度，继续支持城镇老旧小区居民提取住房公积金用于加装电梯等自住住房改造，政策支持范围扩大到本人及配偶双方</w:t>
      </w:r>
      <w:r>
        <w:rPr>
          <w:rFonts w:ascii="仿宋" w:eastAsia="仿宋" w:hAnsi="仿宋" w:hint="eastAsia"/>
          <w:szCs w:val="32"/>
        </w:rPr>
        <w:lastRenderedPageBreak/>
        <w:t>父母自住住房加装电梯等改造；从提高租房提取标准和贷款额度两方面发力，继续加大对多子女家庭解决住房问题的支持力度。</w:t>
      </w:r>
    </w:p>
    <w:p w:rsidR="008B3838" w:rsidRDefault="00BC7ECE">
      <w:pPr>
        <w:spacing w:line="596" w:lineRule="exact"/>
        <w:ind w:firstLineChars="200" w:firstLine="643"/>
        <w:rPr>
          <w:rFonts w:ascii="仿宋" w:eastAsia="仿宋" w:hAnsi="仿宋" w:cs="仿宋_GB2312"/>
          <w:b/>
          <w:bCs/>
          <w:szCs w:val="32"/>
        </w:rPr>
      </w:pPr>
      <w:r>
        <w:rPr>
          <w:rFonts w:ascii="仿宋" w:eastAsia="仿宋" w:hAnsi="仿宋" w:cs="仿宋_GB2312" w:hint="eastAsia"/>
          <w:b/>
          <w:bCs/>
          <w:szCs w:val="32"/>
        </w:rPr>
        <w:t>2.积极稳妥控制个贷率。一是</w:t>
      </w:r>
      <w:r>
        <w:rPr>
          <w:rFonts w:ascii="仿宋" w:eastAsia="仿宋" w:hAnsi="仿宋" w:cs="仿宋_GB2312" w:hint="eastAsia"/>
          <w:szCs w:val="32"/>
        </w:rPr>
        <w:t>持续做大缴存资金余额。充分用好与市中级人民法院的联合发文和湖南省“双随机、一公开”监管工作平台，做好破产企业职工住房公积金事务办理和涉企信用信息检查工作，进一步加强归集扩面工作的调度，推动缴存余额增长。</w:t>
      </w:r>
      <w:r>
        <w:rPr>
          <w:rFonts w:ascii="仿宋" w:eastAsia="仿宋" w:hAnsi="仿宋" w:cs="仿宋_GB2312" w:hint="eastAsia"/>
          <w:b/>
          <w:bCs/>
          <w:szCs w:val="32"/>
        </w:rPr>
        <w:t>二是</w:t>
      </w:r>
      <w:r>
        <w:rPr>
          <w:rFonts w:ascii="仿宋" w:eastAsia="仿宋" w:hAnsi="仿宋" w:cs="仿宋_GB2312" w:hint="eastAsia"/>
          <w:szCs w:val="32"/>
        </w:rPr>
        <w:t>完善灵活就业人员缴贷政策。认真落实2023年《住房和城乡建设部住房公积金监管司关于印发灵活就业人员参加住房公积金制度试点政策措施的通知》文件精神，积极探索建立存贷挂钩机制，综合考虑灵活就业人员缴存金额、缴存频率、缴存时长等因素，合理设定贷款配贷机制。</w:t>
      </w:r>
      <w:r>
        <w:rPr>
          <w:rFonts w:ascii="仿宋" w:eastAsia="仿宋" w:hAnsi="仿宋" w:cs="仿宋_GB2312" w:hint="eastAsia"/>
          <w:b/>
          <w:bCs/>
          <w:szCs w:val="32"/>
        </w:rPr>
        <w:t>三是</w:t>
      </w:r>
      <w:r>
        <w:rPr>
          <w:rFonts w:ascii="仿宋" w:eastAsia="仿宋" w:hAnsi="仿宋" w:cs="仿宋_GB2312" w:hint="eastAsia"/>
          <w:szCs w:val="32"/>
        </w:rPr>
        <w:t>分类实施贷款使用政策。当住房公积金资金净流入为正时，维持贷款政策不调整，让个贷率稳步降下来。当住房公积金资金净流入为负且个贷率高于85%时，按要求启动流动性风险预警机制。</w:t>
      </w:r>
    </w:p>
    <w:p w:rsidR="008B3838" w:rsidRDefault="00BC7ECE">
      <w:pPr>
        <w:pStyle w:val="20"/>
        <w:spacing w:line="596" w:lineRule="exact"/>
        <w:ind w:firstLineChars="200" w:firstLine="643"/>
        <w:jc w:val="both"/>
        <w:rPr>
          <w:rFonts w:ascii="仿宋" w:eastAsia="仿宋" w:hAnsi="仿宋" w:cs="仿宋_GB2312"/>
          <w:sz w:val="32"/>
          <w:szCs w:val="32"/>
          <w:lang w:eastAsia="zh-CN"/>
        </w:rPr>
      </w:pPr>
      <w:r>
        <w:rPr>
          <w:rFonts w:ascii="仿宋" w:eastAsia="仿宋" w:hAnsi="仿宋" w:cs="仿宋_GB2312" w:hint="eastAsia"/>
          <w:b/>
          <w:bCs/>
          <w:kern w:val="2"/>
          <w:sz w:val="32"/>
          <w:szCs w:val="32"/>
          <w:lang w:eastAsia="zh-CN" w:bidi="ar-SA"/>
        </w:rPr>
        <w:t>3.多措并举推进信息化建设。</w:t>
      </w:r>
      <w:r>
        <w:rPr>
          <w:rFonts w:ascii="仿宋" w:eastAsia="仿宋" w:hAnsi="仿宋" w:cs="仿宋_GB2312" w:hint="eastAsia"/>
          <w:b/>
          <w:bCs/>
          <w:sz w:val="32"/>
          <w:szCs w:val="32"/>
          <w:lang w:eastAsia="zh-CN"/>
        </w:rPr>
        <w:t>一是</w:t>
      </w:r>
      <w:r>
        <w:rPr>
          <w:rFonts w:ascii="仿宋" w:eastAsia="仿宋" w:hAnsi="仿宋" w:cs="仿宋_GB2312" w:hint="eastAsia"/>
          <w:sz w:val="32"/>
          <w:szCs w:val="32"/>
          <w:lang w:eastAsia="zh-CN"/>
        </w:rPr>
        <w:t>持续推进多部门数据共享，加强数据汇集，逐步完成政务一体化项目中多平台对接任务，为智慧城市建设贡献力量。</w:t>
      </w:r>
      <w:r>
        <w:rPr>
          <w:rFonts w:ascii="仿宋" w:eastAsia="仿宋" w:hAnsi="仿宋" w:cs="仿宋_GB2312" w:hint="eastAsia"/>
          <w:b/>
          <w:bCs/>
          <w:sz w:val="32"/>
          <w:szCs w:val="32"/>
          <w:lang w:eastAsia="zh-CN"/>
        </w:rPr>
        <w:t>二是</w:t>
      </w:r>
      <w:r>
        <w:rPr>
          <w:rFonts w:ascii="仿宋" w:eastAsia="仿宋" w:hAnsi="仿宋" w:cs="仿宋_GB2312" w:hint="eastAsia"/>
          <w:sz w:val="32"/>
          <w:szCs w:val="32"/>
          <w:lang w:eastAsia="zh-CN"/>
        </w:rPr>
        <w:t>加快建设公积金智慧大厅，打造智能化、数字化公积金业务门户，提升中心整体服务水平。</w:t>
      </w:r>
      <w:r>
        <w:rPr>
          <w:rFonts w:ascii="仿宋" w:eastAsia="仿宋" w:hAnsi="仿宋" w:cs="仿宋_GB2312" w:hint="eastAsia"/>
          <w:b/>
          <w:bCs/>
          <w:sz w:val="32"/>
          <w:szCs w:val="32"/>
          <w:lang w:eastAsia="zh-CN"/>
        </w:rPr>
        <w:t>三是</w:t>
      </w:r>
      <w:r>
        <w:rPr>
          <w:rFonts w:ascii="仿宋" w:eastAsia="仿宋" w:hAnsi="仿宋" w:cs="仿宋_GB2312" w:hint="eastAsia"/>
          <w:sz w:val="32"/>
          <w:szCs w:val="32"/>
          <w:lang w:eastAsia="zh-CN"/>
        </w:rPr>
        <w:t>全面推广电子印章、电子签名应用，实现跨地区、跨部门、跨层级业务协同、扫码签章、全程网办。</w:t>
      </w:r>
      <w:r>
        <w:rPr>
          <w:rFonts w:ascii="仿宋" w:eastAsia="仿宋" w:hAnsi="仿宋" w:cs="仿宋_GB2312" w:hint="eastAsia"/>
          <w:b/>
          <w:bCs/>
          <w:sz w:val="32"/>
          <w:szCs w:val="32"/>
          <w:lang w:eastAsia="zh-CN"/>
        </w:rPr>
        <w:t>四是</w:t>
      </w:r>
      <w:r>
        <w:rPr>
          <w:rFonts w:ascii="仿宋" w:eastAsia="仿宋" w:hAnsi="仿宋" w:cs="仿宋_GB2312" w:hint="eastAsia"/>
          <w:sz w:val="32"/>
          <w:szCs w:val="32"/>
          <w:lang w:eastAsia="zh-CN"/>
        </w:rPr>
        <w:t>继续丰富线上业务办理渠道，加快实现数据快速核验、</w:t>
      </w:r>
      <w:r>
        <w:rPr>
          <w:rFonts w:ascii="仿宋" w:eastAsia="仿宋" w:hAnsi="仿宋" w:cs="仿宋_GB2312" w:hint="eastAsia"/>
          <w:sz w:val="32"/>
          <w:szCs w:val="32"/>
          <w:lang w:eastAsia="zh-CN"/>
        </w:rPr>
        <w:lastRenderedPageBreak/>
        <w:t>材料实时预审，不断完善“云端导办”服务体验。</w:t>
      </w:r>
      <w:r>
        <w:rPr>
          <w:rFonts w:ascii="仿宋" w:eastAsia="仿宋" w:hAnsi="仿宋" w:cs="仿宋_GB2312" w:hint="eastAsia"/>
          <w:b/>
          <w:bCs/>
          <w:sz w:val="32"/>
          <w:szCs w:val="32"/>
          <w:lang w:eastAsia="zh-CN"/>
        </w:rPr>
        <w:t>五是</w:t>
      </w:r>
      <w:r>
        <w:rPr>
          <w:rFonts w:ascii="仿宋" w:eastAsia="仿宋" w:hAnsi="仿宋" w:cs="仿宋_GB2312" w:hint="eastAsia"/>
          <w:sz w:val="32"/>
          <w:szCs w:val="32"/>
          <w:lang w:eastAsia="zh-CN"/>
        </w:rPr>
        <w:t>提升风险防控水平，加强数据全生命周期安全管理，强化日常监测，不断提高安全防护能力。</w:t>
      </w:r>
    </w:p>
    <w:p w:rsidR="008B3838" w:rsidRDefault="00BC7ECE">
      <w:pPr>
        <w:widowControl/>
        <w:spacing w:line="596" w:lineRule="exact"/>
        <w:ind w:firstLineChars="200" w:firstLine="643"/>
        <w:rPr>
          <w:rFonts w:ascii="仿宋" w:eastAsia="仿宋" w:hAnsi="仿宋" w:cs="仿宋_GB2312"/>
          <w:kern w:val="0"/>
          <w:szCs w:val="32"/>
        </w:rPr>
      </w:pPr>
      <w:r>
        <w:rPr>
          <w:rFonts w:ascii="仿宋" w:eastAsia="仿宋" w:hAnsi="仿宋" w:cs="仿宋_GB2312" w:hint="eastAsia"/>
          <w:b/>
          <w:bCs/>
          <w:szCs w:val="32"/>
        </w:rPr>
        <w:t>4.想方设法降低贷款逾期。</w:t>
      </w:r>
      <w:r>
        <w:rPr>
          <w:rFonts w:ascii="仿宋" w:eastAsia="仿宋" w:hAnsi="仿宋" w:cs="仿宋_GB2312" w:hint="eastAsia"/>
          <w:kern w:val="0"/>
          <w:szCs w:val="32"/>
        </w:rPr>
        <w:t>通过市化解办协调解决部分问题楼盘贷款逾期问题；督促房地产开发企业履行阶段性保证担保责任代偿期房逾期贷款；要求市财源投公司加快存量案件执行进度，按月公布《住房公积金贷款资产管理报告》，按照“一笔一清单”要求，详细记录逾期贷款催收和诉讼情况，有效降低贷款逾期率。</w:t>
      </w:r>
    </w:p>
    <w:p w:rsidR="008B3838" w:rsidRDefault="00BC7ECE">
      <w:pPr>
        <w:spacing w:line="596" w:lineRule="exact"/>
        <w:ind w:firstLineChars="200" w:firstLine="643"/>
        <w:rPr>
          <w:rFonts w:ascii="仿宋" w:eastAsia="仿宋" w:hAnsi="仿宋" w:cs="仿宋_GB2312"/>
          <w:szCs w:val="32"/>
        </w:rPr>
      </w:pPr>
      <w:r>
        <w:rPr>
          <w:rFonts w:ascii="仿宋" w:eastAsia="仿宋" w:hAnsi="仿宋" w:cs="仿宋_GB2312" w:hint="eastAsia"/>
          <w:b/>
          <w:bCs/>
          <w:szCs w:val="32"/>
        </w:rPr>
        <w:t>5.从严从细压实主体责任。</w:t>
      </w:r>
      <w:r>
        <w:rPr>
          <w:rFonts w:ascii="仿宋" w:eastAsia="仿宋" w:hAnsi="仿宋" w:cs="仿宋_GB2312" w:hint="eastAsia"/>
          <w:b/>
          <w:szCs w:val="32"/>
        </w:rPr>
        <w:t>一是</w:t>
      </w:r>
      <w:r>
        <w:rPr>
          <w:rFonts w:ascii="仿宋" w:eastAsia="仿宋" w:hAnsi="仿宋" w:cs="仿宋_GB2312" w:hint="eastAsia"/>
          <w:bCs/>
          <w:szCs w:val="32"/>
        </w:rPr>
        <w:t>注重发挥《绩效管理实施办法》指挥棒作用，更加科学、合理设置归集金额和实缴人数考核占比，进一步凸显归集扩面在住房公积金工作中最基础、最核心、最重要的位置。</w:t>
      </w:r>
      <w:r>
        <w:rPr>
          <w:rFonts w:ascii="仿宋" w:eastAsia="仿宋" w:hAnsi="仿宋" w:cs="仿宋_GB2312" w:hint="eastAsia"/>
          <w:b/>
          <w:szCs w:val="32"/>
        </w:rPr>
        <w:t>二是</w:t>
      </w:r>
      <w:r>
        <w:rPr>
          <w:rFonts w:ascii="仿宋" w:eastAsia="仿宋" w:hAnsi="仿宋" w:cs="仿宋_GB2312" w:hint="eastAsia"/>
          <w:bCs/>
          <w:szCs w:val="32"/>
        </w:rPr>
        <w:t>压实各营业网点归集扩面主体责任，督促各营业网点加强与当地党委政府和相关职能部门沟通汇报，积极争取在政策范围内足额缴存。</w:t>
      </w:r>
      <w:r>
        <w:rPr>
          <w:rFonts w:ascii="仿宋" w:eastAsia="仿宋" w:hAnsi="仿宋" w:cs="仿宋_GB2312" w:hint="eastAsia"/>
          <w:b/>
          <w:szCs w:val="32"/>
        </w:rPr>
        <w:t>三是</w:t>
      </w:r>
      <w:r>
        <w:rPr>
          <w:rFonts w:ascii="仿宋" w:eastAsia="仿宋" w:hAnsi="仿宋" w:cs="仿宋_GB2312" w:hint="eastAsia"/>
          <w:bCs/>
          <w:szCs w:val="32"/>
        </w:rPr>
        <w:t>压实中心班子成员指导、帮扶责任。班子成员定期到联系营业网点开展蹲点调研，翔实掌握归集扩面第一手资料，更好有的放矢帮助一线职工解决在具体推进过程中遇到的问题。</w:t>
      </w:r>
    </w:p>
    <w:p w:rsidR="008B3838" w:rsidRDefault="00BC7ECE">
      <w:pPr>
        <w:widowControl/>
        <w:spacing w:line="596" w:lineRule="exact"/>
        <w:ind w:firstLineChars="200" w:firstLine="643"/>
        <w:rPr>
          <w:rFonts w:ascii="仿宋" w:eastAsia="仿宋" w:hAnsi="仿宋" w:cs="仿宋_GB2312"/>
          <w:kern w:val="0"/>
          <w:szCs w:val="32"/>
        </w:rPr>
      </w:pPr>
      <w:r>
        <w:rPr>
          <w:rFonts w:ascii="仿宋" w:eastAsia="仿宋" w:hAnsi="仿宋" w:cs="仿宋_GB2312" w:hint="eastAsia"/>
          <w:b/>
          <w:bCs/>
          <w:szCs w:val="32"/>
        </w:rPr>
        <w:t>6.一以贯之提升服务水平。</w:t>
      </w:r>
      <w:r>
        <w:rPr>
          <w:rFonts w:ascii="仿宋" w:eastAsia="仿宋" w:hAnsi="仿宋" w:cs="仿宋_GB2312" w:hint="eastAsia"/>
          <w:kern w:val="0"/>
          <w:szCs w:val="32"/>
        </w:rPr>
        <w:t>积极构思“智慧公积金”服务大厅建设，通过设置“办事引导区”“信息展示区”“自助服务区”“服务评价区”“线上业务区”等不同功能区与信息化服务有机组合，集成业务分流、联机取号、实时评价、信息交互等多应用系统，为群众提供多样化办事途径与服务</w:t>
      </w:r>
      <w:r>
        <w:rPr>
          <w:rFonts w:ascii="仿宋" w:eastAsia="仿宋" w:hAnsi="仿宋" w:cs="仿宋_GB2312" w:hint="eastAsia"/>
          <w:kern w:val="0"/>
          <w:szCs w:val="32"/>
        </w:rPr>
        <w:lastRenderedPageBreak/>
        <w:t>引导。构建24小时无人值守大厅，通过智能化手段和信息化技术的应用，不断提升公积金效能和公共服务水平。</w:t>
      </w:r>
    </w:p>
    <w:p w:rsidR="008B3838" w:rsidRDefault="00BC7ECE">
      <w:pPr>
        <w:widowControl/>
        <w:spacing w:line="596" w:lineRule="exact"/>
        <w:ind w:firstLineChars="200" w:firstLine="643"/>
        <w:rPr>
          <w:rFonts w:ascii="仿宋" w:eastAsia="仿宋" w:hAnsi="仿宋"/>
        </w:rPr>
      </w:pPr>
      <w:r>
        <w:rPr>
          <w:rFonts w:ascii="仿宋" w:eastAsia="仿宋" w:hAnsi="仿宋" w:cs="仿宋_GB2312" w:hint="eastAsia"/>
          <w:b/>
          <w:bCs/>
          <w:szCs w:val="32"/>
        </w:rPr>
        <w:t>7.坚定不移筑牢安全防线。</w:t>
      </w:r>
      <w:r>
        <w:rPr>
          <w:rFonts w:ascii="仿宋" w:eastAsia="仿宋" w:hAnsi="仿宋" w:cs="仿宋_GB2312" w:hint="eastAsia"/>
          <w:kern w:val="0"/>
          <w:szCs w:val="32"/>
        </w:rPr>
        <w:t>健全安全评估、监测预警、应急演练、事件处置等机制，切实筑牢安全防线；按照网络安全等级保护制度要求，落实数据分类分级保护制度，明确数据使用权限、适用范围、安全保障，健全数据安全内控机制，加大数据保护力度。加强数据全生命周期安全管理，将数据加密、数据脱敏、授权访问等技术应用到日常运维管控中。</w:t>
      </w:r>
    </w:p>
    <w:p w:rsidR="008B3838" w:rsidRDefault="008B3838">
      <w:pPr>
        <w:spacing w:line="596" w:lineRule="exact"/>
        <w:ind w:firstLineChars="200" w:firstLine="640"/>
        <w:rPr>
          <w:rFonts w:eastAsia="黑体"/>
          <w:szCs w:val="32"/>
        </w:rPr>
      </w:pPr>
    </w:p>
    <w:p w:rsidR="008B3838" w:rsidRDefault="008B3838">
      <w:pPr>
        <w:pStyle w:val="2"/>
        <w:ind w:left="640"/>
      </w:pPr>
    </w:p>
    <w:p w:rsidR="008B3838" w:rsidRDefault="008B3838">
      <w:pPr>
        <w:pStyle w:val="2"/>
        <w:ind w:left="640"/>
      </w:pPr>
    </w:p>
    <w:p w:rsidR="008B3838" w:rsidRDefault="00BC7ECE">
      <w:pPr>
        <w:spacing w:line="596" w:lineRule="exact"/>
        <w:rPr>
          <w:rFonts w:ascii="仿宋" w:eastAsia="仿宋" w:hAnsi="仿宋"/>
          <w:szCs w:val="32"/>
        </w:rPr>
      </w:pPr>
      <w:r>
        <w:rPr>
          <w:rFonts w:ascii="仿宋" w:eastAsia="仿宋" w:hAnsi="仿宋" w:hint="eastAsia"/>
          <w:szCs w:val="32"/>
        </w:rPr>
        <w:t>附件：</w:t>
      </w:r>
    </w:p>
    <w:p w:rsidR="00532954" w:rsidRDefault="00532954" w:rsidP="00532954">
      <w:pPr>
        <w:spacing w:line="520" w:lineRule="exact"/>
        <w:ind w:firstLineChars="200" w:firstLine="640"/>
        <w:rPr>
          <w:szCs w:val="32"/>
        </w:rPr>
      </w:pPr>
      <w:r>
        <w:rPr>
          <w:szCs w:val="32"/>
        </w:rPr>
        <w:t>1</w:t>
      </w:r>
      <w:r>
        <w:rPr>
          <w:rFonts w:hint="eastAsia"/>
          <w:szCs w:val="32"/>
        </w:rPr>
        <w:t>、</w:t>
      </w:r>
      <w:r>
        <w:rPr>
          <w:rFonts w:ascii="宋体" w:eastAsia="宋体" w:hAnsi="宋体" w:cs="宋体" w:hint="eastAsia"/>
          <w:szCs w:val="32"/>
        </w:rPr>
        <w:t>2023年</w:t>
      </w:r>
      <w:r>
        <w:rPr>
          <w:rFonts w:hint="eastAsia"/>
          <w:szCs w:val="32"/>
        </w:rPr>
        <w:t>部门整体支出绩效评价基础数据</w:t>
      </w:r>
      <w:r>
        <w:rPr>
          <w:rFonts w:ascii="宋体" w:eastAsia="宋体" w:hAnsi="宋体" w:cs="宋体" w:hint="eastAsia"/>
          <w:szCs w:val="32"/>
        </w:rPr>
        <w:t>表</w:t>
      </w:r>
    </w:p>
    <w:p w:rsidR="00532954" w:rsidRDefault="00532954" w:rsidP="00532954">
      <w:pPr>
        <w:spacing w:line="520" w:lineRule="exact"/>
        <w:ind w:firstLineChars="200" w:firstLine="640"/>
        <w:rPr>
          <w:szCs w:val="32"/>
        </w:rPr>
      </w:pPr>
      <w:r>
        <w:rPr>
          <w:szCs w:val="32"/>
        </w:rPr>
        <w:t>2</w:t>
      </w:r>
      <w:r>
        <w:rPr>
          <w:rFonts w:hint="eastAsia"/>
          <w:szCs w:val="32"/>
        </w:rPr>
        <w:t>、</w:t>
      </w:r>
      <w:r>
        <w:rPr>
          <w:rFonts w:ascii="宋体" w:eastAsia="宋体" w:hAnsi="宋体" w:cs="宋体" w:hint="eastAsia"/>
          <w:szCs w:val="32"/>
        </w:rPr>
        <w:t>2023年</w:t>
      </w:r>
      <w:r>
        <w:rPr>
          <w:rFonts w:hint="eastAsia"/>
          <w:szCs w:val="32"/>
        </w:rPr>
        <w:t>部门整体支出绩效自评</w:t>
      </w:r>
      <w:r>
        <w:rPr>
          <w:rFonts w:ascii="宋体" w:eastAsia="宋体" w:hAnsi="宋体" w:cs="宋体" w:hint="eastAsia"/>
          <w:szCs w:val="32"/>
        </w:rPr>
        <w:t>表</w:t>
      </w:r>
    </w:p>
    <w:p w:rsidR="008B3838" w:rsidRDefault="008B3838">
      <w:pPr>
        <w:spacing w:line="596" w:lineRule="exact"/>
      </w:pPr>
    </w:p>
    <w:sectPr w:rsidR="008B3838" w:rsidSect="008B38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684" w:rsidRDefault="00F83684" w:rsidP="008B3838">
      <w:r>
        <w:separator/>
      </w:r>
    </w:p>
  </w:endnote>
  <w:endnote w:type="continuationSeparator" w:id="1">
    <w:p w:rsidR="00F83684" w:rsidRDefault="00F83684" w:rsidP="008B38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embedRegular r:id="rId1" w:subsetted="1" w:fontKey="{F9AF405C-934B-4B25-B081-650645B91191}"/>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embedRegular r:id="rId2" w:subsetted="1" w:fontKey="{716523B7-4619-48AF-89AF-98E69BE7E4E2}"/>
  </w:font>
  <w:font w:name="??">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embedRegular r:id="rId3" w:subsetted="1" w:fontKey="{EF736C7E-6B72-4FFA-834E-21BABAEEF181}"/>
  </w:font>
  <w:font w:name="黑体">
    <w:altName w:val="SimHei"/>
    <w:panose1 w:val="02010609060101010101"/>
    <w:charset w:val="86"/>
    <w:family w:val="modern"/>
    <w:pitch w:val="fixed"/>
    <w:sig w:usb0="800002BF" w:usb1="38CF7CFA" w:usb2="00000016" w:usb3="00000000" w:csb0="00040001" w:csb1="00000000"/>
    <w:embedRegular r:id="rId4" w:subsetted="1" w:fontKey="{F9094EFB-30A8-4625-8CF9-27188BF9B985}"/>
  </w:font>
  <w:font w:name="仿宋">
    <w:panose1 w:val="02010609060101010101"/>
    <w:charset w:val="86"/>
    <w:family w:val="modern"/>
    <w:pitch w:val="fixed"/>
    <w:sig w:usb0="800002BF" w:usb1="38CF7CFA" w:usb2="00000016" w:usb3="00000000" w:csb0="00040001" w:csb1="00000000"/>
    <w:embedRegular r:id="rId5" w:subsetted="1" w:fontKey="{D63503C0-56A8-4574-BB92-9BCC02ECAD46}"/>
    <w:embedBold r:id="rId6" w:subsetted="1" w:fontKey="{0A3A5FA3-CFD3-46DD-83AF-941FDD834F14}"/>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72855"/>
      <w:docPartObj>
        <w:docPartGallery w:val="AutoText"/>
      </w:docPartObj>
    </w:sdtPr>
    <w:sdtContent>
      <w:p w:rsidR="008B3838" w:rsidRDefault="0045500A">
        <w:pPr>
          <w:pStyle w:val="a4"/>
          <w:jc w:val="center"/>
        </w:pPr>
        <w:r w:rsidRPr="0045500A">
          <w:fldChar w:fldCharType="begin"/>
        </w:r>
        <w:r w:rsidR="00BC7ECE">
          <w:instrText xml:space="preserve"> PAGE   \* MERGEFORMAT </w:instrText>
        </w:r>
        <w:r w:rsidRPr="0045500A">
          <w:fldChar w:fldCharType="separate"/>
        </w:r>
        <w:r w:rsidR="00532954" w:rsidRPr="00532954">
          <w:rPr>
            <w:noProof/>
            <w:lang w:val="zh-CN"/>
          </w:rPr>
          <w:t>12</w:t>
        </w:r>
        <w:r>
          <w:rPr>
            <w:lang w:val="zh-CN"/>
          </w:rPr>
          <w:fldChar w:fldCharType="end"/>
        </w:r>
      </w:p>
    </w:sdtContent>
  </w:sdt>
  <w:p w:rsidR="008B3838" w:rsidRDefault="008B383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684" w:rsidRDefault="00F83684" w:rsidP="008B3838">
      <w:r>
        <w:separator/>
      </w:r>
    </w:p>
  </w:footnote>
  <w:footnote w:type="continuationSeparator" w:id="1">
    <w:p w:rsidR="00F83684" w:rsidRDefault="00F83684" w:rsidP="008B38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4E6874"/>
    <w:multiLevelType w:val="singleLevel"/>
    <w:tmpl w:val="B84E6874"/>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NhY2MwNDFiOWJhZDM3NzY3YzM4Y2UwMGI2ODMxMGIifQ=="/>
  </w:docVars>
  <w:rsids>
    <w:rsidRoot w:val="00A069CA"/>
    <w:rsid w:val="00010F4F"/>
    <w:rsid w:val="00026299"/>
    <w:rsid w:val="000D3410"/>
    <w:rsid w:val="001026D1"/>
    <w:rsid w:val="001108D2"/>
    <w:rsid w:val="002137AB"/>
    <w:rsid w:val="002F0DD0"/>
    <w:rsid w:val="00306C5A"/>
    <w:rsid w:val="0045500A"/>
    <w:rsid w:val="00532954"/>
    <w:rsid w:val="00560664"/>
    <w:rsid w:val="0058686A"/>
    <w:rsid w:val="00602F8C"/>
    <w:rsid w:val="00654DA6"/>
    <w:rsid w:val="006C603D"/>
    <w:rsid w:val="006F2E99"/>
    <w:rsid w:val="007E2FAF"/>
    <w:rsid w:val="008250D6"/>
    <w:rsid w:val="008B3838"/>
    <w:rsid w:val="00905587"/>
    <w:rsid w:val="009579A3"/>
    <w:rsid w:val="0096052D"/>
    <w:rsid w:val="009D0059"/>
    <w:rsid w:val="00A0527B"/>
    <w:rsid w:val="00A069CA"/>
    <w:rsid w:val="00A207F9"/>
    <w:rsid w:val="00A54243"/>
    <w:rsid w:val="00A63553"/>
    <w:rsid w:val="00AA6028"/>
    <w:rsid w:val="00BC7ECE"/>
    <w:rsid w:val="00D01809"/>
    <w:rsid w:val="00D473F3"/>
    <w:rsid w:val="00D96C32"/>
    <w:rsid w:val="00DF4C58"/>
    <w:rsid w:val="00F7714E"/>
    <w:rsid w:val="00F83684"/>
    <w:rsid w:val="12587887"/>
    <w:rsid w:val="1A7A7E33"/>
    <w:rsid w:val="202B7FEF"/>
    <w:rsid w:val="23D8507E"/>
    <w:rsid w:val="28681D73"/>
    <w:rsid w:val="56E70EC9"/>
    <w:rsid w:val="6FD254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8B3838"/>
    <w:pPr>
      <w:widowControl w:val="0"/>
      <w:jc w:val="both"/>
    </w:pPr>
    <w:rPr>
      <w:rFonts w:ascii="Calibri" w:eastAsia="仿宋_GB2312" w:hAnsi="Calibri"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8B3838"/>
    <w:pPr>
      <w:tabs>
        <w:tab w:val="left" w:pos="449"/>
      </w:tabs>
      <w:ind w:firstLine="420"/>
    </w:pPr>
    <w:rPr>
      <w:rFonts w:ascii="Times New Roman" w:hAnsi="Times New Roman" w:cs="Times New Roman"/>
      <w:sz w:val="21"/>
    </w:rPr>
  </w:style>
  <w:style w:type="paragraph" w:styleId="a3">
    <w:name w:val="Body Text Indent"/>
    <w:basedOn w:val="a"/>
    <w:qFormat/>
    <w:rsid w:val="008B3838"/>
    <w:pPr>
      <w:spacing w:after="120"/>
      <w:ind w:leftChars="200" w:left="200"/>
    </w:pPr>
    <w:rPr>
      <w:rFonts w:ascii="??" w:eastAsia="宋体" w:hAnsi="??" w:cs="宋体"/>
      <w:color w:val="000000"/>
      <w:spacing w:val="-16"/>
      <w:kern w:val="28"/>
      <w:position w:val="-10"/>
      <w:sz w:val="28"/>
      <w:szCs w:val="28"/>
    </w:rPr>
  </w:style>
  <w:style w:type="paragraph" w:styleId="a4">
    <w:name w:val="footer"/>
    <w:basedOn w:val="a"/>
    <w:link w:val="Char"/>
    <w:uiPriority w:val="99"/>
    <w:rsid w:val="008B3838"/>
    <w:pPr>
      <w:tabs>
        <w:tab w:val="center" w:pos="4153"/>
        <w:tab w:val="right" w:pos="8306"/>
      </w:tabs>
      <w:snapToGrid w:val="0"/>
      <w:jc w:val="left"/>
    </w:pPr>
    <w:rPr>
      <w:sz w:val="18"/>
      <w:szCs w:val="18"/>
    </w:rPr>
  </w:style>
  <w:style w:type="paragraph" w:styleId="a5">
    <w:name w:val="header"/>
    <w:basedOn w:val="a"/>
    <w:link w:val="Char0"/>
    <w:rsid w:val="008B3838"/>
    <w:pPr>
      <w:pBdr>
        <w:bottom w:val="single" w:sz="6" w:space="1" w:color="auto"/>
      </w:pBdr>
      <w:tabs>
        <w:tab w:val="center" w:pos="4153"/>
        <w:tab w:val="right" w:pos="8306"/>
      </w:tabs>
      <w:snapToGrid w:val="0"/>
      <w:jc w:val="center"/>
    </w:pPr>
    <w:rPr>
      <w:sz w:val="18"/>
      <w:szCs w:val="18"/>
    </w:rPr>
  </w:style>
  <w:style w:type="paragraph" w:styleId="20">
    <w:name w:val="Body Text 2"/>
    <w:qFormat/>
    <w:rsid w:val="008B3838"/>
    <w:rPr>
      <w:rFonts w:ascii="Calibri" w:eastAsia="宋体" w:hAnsi="Calibri" w:cs="Times New Roman"/>
      <w:sz w:val="21"/>
      <w:szCs w:val="24"/>
      <w:lang w:eastAsia="en-US" w:bidi="en-US"/>
    </w:rPr>
  </w:style>
  <w:style w:type="paragraph" w:styleId="a6">
    <w:name w:val="Normal (Web)"/>
    <w:basedOn w:val="a"/>
    <w:qFormat/>
    <w:rsid w:val="008B3838"/>
    <w:pPr>
      <w:spacing w:beforeAutospacing="1" w:afterAutospacing="1"/>
      <w:jc w:val="left"/>
    </w:pPr>
    <w:rPr>
      <w:kern w:val="0"/>
      <w:sz w:val="24"/>
    </w:rPr>
  </w:style>
  <w:style w:type="paragraph" w:styleId="a7">
    <w:name w:val="List Paragraph"/>
    <w:basedOn w:val="a"/>
    <w:uiPriority w:val="99"/>
    <w:qFormat/>
    <w:rsid w:val="008B3838"/>
    <w:pPr>
      <w:ind w:firstLineChars="200" w:firstLine="420"/>
    </w:pPr>
    <w:rPr>
      <w:szCs w:val="22"/>
    </w:rPr>
  </w:style>
  <w:style w:type="character" w:customStyle="1" w:styleId="NormalCharacter">
    <w:name w:val="NormalCharacter"/>
    <w:autoRedefine/>
    <w:semiHidden/>
    <w:qFormat/>
    <w:rsid w:val="008B3838"/>
  </w:style>
  <w:style w:type="character" w:customStyle="1" w:styleId="Char0">
    <w:name w:val="页眉 Char"/>
    <w:basedOn w:val="a0"/>
    <w:link w:val="a5"/>
    <w:rsid w:val="008B3838"/>
    <w:rPr>
      <w:rFonts w:ascii="Calibri" w:eastAsia="仿宋_GB2312" w:hAnsi="Calibri" w:cs="Times New Roman"/>
      <w:kern w:val="2"/>
      <w:sz w:val="18"/>
      <w:szCs w:val="18"/>
    </w:rPr>
  </w:style>
  <w:style w:type="character" w:customStyle="1" w:styleId="Char">
    <w:name w:val="页脚 Char"/>
    <w:basedOn w:val="a0"/>
    <w:link w:val="a4"/>
    <w:uiPriority w:val="99"/>
    <w:rsid w:val="008B3838"/>
    <w:rPr>
      <w:rFonts w:ascii="Calibri" w:eastAsia="仿宋_GB2312"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044088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12</Pages>
  <Words>895</Words>
  <Characters>5103</Characters>
  <Application>Microsoft Office Word</Application>
  <DocSecurity>0</DocSecurity>
  <Lines>42</Lines>
  <Paragraphs>11</Paragraphs>
  <ScaleCrop>false</ScaleCrop>
  <Company>china</Company>
  <LinksUpToDate>false</LinksUpToDate>
  <CharactersWithSpaces>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22</cp:revision>
  <cp:lastPrinted>2024-05-15T03:59:00Z</cp:lastPrinted>
  <dcterms:created xsi:type="dcterms:W3CDTF">2014-10-29T12:08:00Z</dcterms:created>
  <dcterms:modified xsi:type="dcterms:W3CDTF">2025-04-11T08:51:00Z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9548EE02AB7247EEAA60C56278D987E9_12</vt:lpwstr>
  </property>
</Properties>
</file>